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17" w:rsidRPr="00CD3817" w:rsidRDefault="00CD3817" w:rsidP="00CD3817">
      <w:pPr>
        <w:overflowPunct w:val="0"/>
        <w:autoSpaceDE w:val="0"/>
        <w:autoSpaceDN w:val="0"/>
        <w:adjustRightInd w:val="0"/>
        <w:spacing w:before="100" w:beforeAutospacing="1" w:after="100" w:afterAutospacing="1" w:line="240" w:lineRule="auto"/>
        <w:jc w:val="both"/>
        <w:textAlignment w:val="baseline"/>
        <w:outlineLvl w:val="0"/>
        <w:rPr>
          <w:rFonts w:ascii="Times New Roman" w:eastAsia="Times New Roman" w:hAnsi="Times New Roman" w:cs="Times New Roman"/>
          <w:b/>
          <w:bCs/>
          <w:kern w:val="36"/>
          <w:sz w:val="28"/>
          <w:szCs w:val="28"/>
        </w:rPr>
      </w:pPr>
      <w:r w:rsidRPr="00CD3817">
        <w:rPr>
          <w:rFonts w:ascii="Times New Roman" w:eastAsia="Times New Roman" w:hAnsi="Times New Roman" w:cs="Times New Roman"/>
          <w:b/>
          <w:bCs/>
          <w:kern w:val="36"/>
          <w:sz w:val="28"/>
          <w:szCs w:val="28"/>
        </w:rPr>
        <w:t xml:space="preserve">    3.6   Концентратор абонентского доступа или удаленный коммутатор.</w:t>
      </w:r>
    </w:p>
    <w:p w:rsidR="00CD3817" w:rsidRPr="00CD3817" w:rsidRDefault="00CD3817" w:rsidP="00CD3817">
      <w:pPr>
        <w:spacing w:before="100" w:beforeAutospacing="1" w:after="100" w:afterAutospacing="1" w:line="360" w:lineRule="auto"/>
        <w:jc w:val="both"/>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     Широкое использование современных АТС большой емкости стимулирует развитие сети абонентских выносов. Какой же тип выноса выгоднее устанавливать — традиционный локальный телефонный коммутатор (RSU) или концентратор абонентского доступа нового поколения (NG DLC)? Для ответа на этот вопрос проведем небольшие расчеты экономической части типовой задачи телефонизации удаленного микрорайона.</w:t>
      </w:r>
      <w:r>
        <w:rPr>
          <w:rFonts w:ascii="Times New Roman" w:eastAsia="Times New Roman" w:hAnsi="Times New Roman" w:cs="Times New Roman"/>
          <w:sz w:val="28"/>
          <w:szCs w:val="28"/>
        </w:rPr>
        <w:t xml:space="preserve"> </w:t>
      </w:r>
      <w:r w:rsidRPr="00CD3817">
        <w:rPr>
          <w:rFonts w:ascii="Times New Roman" w:eastAsia="Times New Roman" w:hAnsi="Times New Roman" w:cs="Times New Roman"/>
          <w:sz w:val="28"/>
          <w:szCs w:val="28"/>
        </w:rPr>
        <w:t xml:space="preserve">К началу нынешнего тысячелетия телекоммуникационные сети развитых стран обеспечивали транспорт огромных объемов абонентского трафика. Интернет-бум подстегнул развитие высокоскоростных магистралей, но ожидания операторов на их заполнение оправдались лишь частично. Теперь практически в любой стране мира операторы стоят перед проблемой развития сетей абонентского доступа, поскольку именно они обеспечивают окупаемость магистральных линий и приносят доходы. В данной статье мы рассмотрим </w:t>
      </w:r>
      <w:proofErr w:type="gramStart"/>
      <w:r w:rsidRPr="00CD3817">
        <w:rPr>
          <w:rFonts w:ascii="Times New Roman" w:eastAsia="Times New Roman" w:hAnsi="Times New Roman" w:cs="Times New Roman"/>
          <w:sz w:val="28"/>
          <w:szCs w:val="28"/>
        </w:rPr>
        <w:t>преимущества</w:t>
      </w:r>
      <w:proofErr w:type="gramEnd"/>
      <w:r w:rsidRPr="00CD3817">
        <w:rPr>
          <w:rFonts w:ascii="Times New Roman" w:eastAsia="Times New Roman" w:hAnsi="Times New Roman" w:cs="Times New Roman"/>
          <w:sz w:val="28"/>
          <w:szCs w:val="28"/>
        </w:rPr>
        <w:t xml:space="preserve"> и недостатки двух различных способов подключения наиболее массовой части абонентов, т. е. района, удаленного от основного узла связи и не попадающего в «зону прямого питания».</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Существует два основных способа телефонизации района компактного проживания абонентов (городской микрорайон, небольшой поселок и т. п.) — установка локального телефонного коммутатора (RSU — </w:t>
      </w:r>
      <w:proofErr w:type="spellStart"/>
      <w:r w:rsidRPr="00CD3817">
        <w:rPr>
          <w:rFonts w:ascii="Times New Roman" w:eastAsia="Times New Roman" w:hAnsi="Times New Roman" w:cs="Times New Roman"/>
          <w:sz w:val="28"/>
          <w:szCs w:val="28"/>
        </w:rPr>
        <w:t>Remote</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Switching</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Unit</w:t>
      </w:r>
      <w:proofErr w:type="spellEnd"/>
      <w:r w:rsidRPr="00CD3817">
        <w:rPr>
          <w:rFonts w:ascii="Times New Roman" w:eastAsia="Times New Roman" w:hAnsi="Times New Roman" w:cs="Times New Roman"/>
          <w:sz w:val="28"/>
          <w:szCs w:val="28"/>
        </w:rPr>
        <w:t xml:space="preserve">) либо концентратора абонентского доступа (DLC — </w:t>
      </w:r>
      <w:proofErr w:type="spellStart"/>
      <w:r w:rsidRPr="00CD3817">
        <w:rPr>
          <w:rFonts w:ascii="Times New Roman" w:eastAsia="Times New Roman" w:hAnsi="Times New Roman" w:cs="Times New Roman"/>
          <w:sz w:val="28"/>
          <w:szCs w:val="28"/>
        </w:rPr>
        <w:t>Digital</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Loop</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Carrier</w:t>
      </w:r>
      <w:proofErr w:type="spellEnd"/>
      <w:r w:rsidRPr="00CD3817">
        <w:rPr>
          <w:rFonts w:ascii="Times New Roman" w:eastAsia="Times New Roman" w:hAnsi="Times New Roman" w:cs="Times New Roman"/>
          <w:sz w:val="28"/>
          <w:szCs w:val="28"/>
        </w:rPr>
        <w:t>). Таким образом, можно организовать вынос номерной емкости с основного коммутатора АТС.</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Схема обслуживания ATC-RSU наиболее привычна, так как давно применяется в небольших удаленных районах, обеспечивая охват необходимой территории. При этом коммутация (только традиционная — канальная) осуществляется на головной АТС. Чаще всего локальный коммутатор подключается к головному по линиям </w:t>
      </w:r>
      <w:r w:rsidRPr="00CD3817">
        <w:rPr>
          <w:rFonts w:ascii="Times New Roman" w:eastAsia="Times New Roman" w:hAnsi="Times New Roman" w:cs="Times New Roman"/>
          <w:sz w:val="28"/>
          <w:szCs w:val="28"/>
        </w:rPr>
        <w:lastRenderedPageBreak/>
        <w:t>ISDN-PRI (согласно рекомендациям МС), и абоненты получают номера с головного коммутатора.</w:t>
      </w:r>
    </w:p>
    <w:p w:rsidR="00CD3817" w:rsidRPr="00CD3817" w:rsidRDefault="00CD3817" w:rsidP="00CD3817">
      <w:pPr>
        <w:numPr>
          <w:ilvl w:val="0"/>
          <w:numId w:val="1"/>
        </w:numPr>
        <w:shd w:val="clear" w:color="auto" w:fill="FFFFFF" w:themeFill="background1"/>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drawing>
          <wp:inline distT="0" distB="0" distL="0" distR="0" wp14:anchorId="3436889C" wp14:editId="2B23AB47">
            <wp:extent cx="5347109" cy="2941607"/>
            <wp:effectExtent l="19050" t="0" r="5941" b="0"/>
            <wp:docPr id="1" name="Рисунок 1" descr="Предоставление услуг телефонии удаленным абонентам при помощи 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едоставление услуг телефонии удаленным абонентам при помощи RSU"/>
                    <pic:cNvPicPr>
                      <a:picLocks noChangeAspect="1" noChangeArrowheads="1"/>
                    </pic:cNvPicPr>
                  </pic:nvPicPr>
                  <pic:blipFill>
                    <a:blip r:embed="rId7"/>
                    <a:srcRect/>
                    <a:stretch>
                      <a:fillRect/>
                    </a:stretch>
                  </pic:blipFill>
                  <pic:spPr bwMode="auto">
                    <a:xfrm>
                      <a:off x="0" y="0"/>
                      <a:ext cx="5353050" cy="2944875"/>
                    </a:xfrm>
                    <a:prstGeom prst="rect">
                      <a:avLst/>
                    </a:prstGeom>
                    <a:solidFill>
                      <a:sysClr val="window" lastClr="FFFFFF">
                        <a:lumMod val="95000"/>
                      </a:sysClr>
                    </a:solidFill>
                    <a:ln w="9525">
                      <a:noFill/>
                      <a:miter lim="800000"/>
                      <a:headEnd/>
                      <a:tailEnd/>
                    </a:ln>
                  </pic:spPr>
                </pic:pic>
              </a:graphicData>
            </a:graphic>
          </wp:inline>
        </w:drawing>
      </w:r>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 7. Предоставление услуг телефонии удаленным абонентам при помощи RSU</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Развитие телекоммуникационных технологий и появление новых стандартов (таких как V5.2) открыло операторам новые возможности и в сфере абонентского доступа. Схема ATC-DLC начала применяться уже в 70-х годах прошлого века, но наибольшую привлекательность для операторов она обрела именно сейчас, с появлением абонентских концентраторов нового поколения (NG DLC).</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Ввиду того, что DLC не имеет собственного ядра коммутации и блоков сопряжения с другими АТС, стоимость базового модуля DLC ниже, чем модуля RSU. Кроме того, DLC изначально </w:t>
      </w:r>
      <w:proofErr w:type="gramStart"/>
      <w:r w:rsidRPr="00CD3817">
        <w:rPr>
          <w:rFonts w:ascii="Times New Roman" w:eastAsia="Times New Roman" w:hAnsi="Times New Roman" w:cs="Times New Roman"/>
          <w:sz w:val="28"/>
          <w:szCs w:val="28"/>
        </w:rPr>
        <w:t>спроектирован</w:t>
      </w:r>
      <w:proofErr w:type="gramEnd"/>
      <w:r w:rsidRPr="00CD3817">
        <w:rPr>
          <w:rFonts w:ascii="Times New Roman" w:eastAsia="Times New Roman" w:hAnsi="Times New Roman" w:cs="Times New Roman"/>
          <w:sz w:val="28"/>
          <w:szCs w:val="28"/>
        </w:rPr>
        <w:t xml:space="preserve"> для обслуживания небольшого количества абонентских линий (100 — 2000) и может наращиваться по мере необходимости, тогда как RSU обладает большей избыточностью на начальном этапе.</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Еще одним достоинством DLC является отсутствие необходимости оснащения его блоком СОРМ даже при числе абонентов более 1000, что позволяет сократить затраты не только на данный блок, но и на передачу потоков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в соответствующие службы.</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 xml:space="preserve">Значительная выгода достигается также при подключении по стеку протоколов V5.2 за счет концентрации телефонного трафика абонентов. При этом тарификация всех звонков абонентов DLC осуществляется на головном коммутаторе, что исключает дополнительные затраты на организацию </w:t>
      </w:r>
      <w:proofErr w:type="spellStart"/>
      <w:r w:rsidRPr="00CD3817">
        <w:rPr>
          <w:rFonts w:ascii="Times New Roman" w:eastAsia="Times New Roman" w:hAnsi="Times New Roman" w:cs="Times New Roman"/>
          <w:sz w:val="28"/>
          <w:szCs w:val="28"/>
        </w:rPr>
        <w:t>биллинга</w:t>
      </w:r>
      <w:proofErr w:type="spellEnd"/>
      <w:r w:rsidRPr="00CD3817">
        <w:rPr>
          <w:rFonts w:ascii="Times New Roman" w:eastAsia="Times New Roman" w:hAnsi="Times New Roman" w:cs="Times New Roman"/>
          <w:sz w:val="28"/>
          <w:szCs w:val="28"/>
        </w:rPr>
        <w:t xml:space="preserve"> и упрощает подключение/отключение удаленных абонентов. При подключении же RSU по протоколу ISDN-PRI, чтобы отключить с головного коммутатора одного абонента за неуплату, необходимо каждый раз менять конфигурацию потока PRI.</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drawing>
          <wp:inline distT="0" distB="0" distL="0" distR="0" wp14:anchorId="68E3291C" wp14:editId="6DACF727">
            <wp:extent cx="5709443" cy="2924355"/>
            <wp:effectExtent l="19050" t="0" r="5557" b="0"/>
            <wp:docPr id="2" name="Рисунок 2" descr="Предоставление услуг телефонии и передачи данных удаленным абонентам при помощи 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редоставление услуг телефонии и передачи данных удаленным абонентам при помощи DLC"/>
                    <pic:cNvPicPr>
                      <a:picLocks noChangeAspect="1" noChangeArrowheads="1"/>
                    </pic:cNvPicPr>
                  </pic:nvPicPr>
                  <pic:blipFill>
                    <a:blip r:embed="rId8"/>
                    <a:srcRect/>
                    <a:stretch>
                      <a:fillRect/>
                    </a:stretch>
                  </pic:blipFill>
                  <pic:spPr bwMode="auto">
                    <a:xfrm>
                      <a:off x="0" y="0"/>
                      <a:ext cx="5715000" cy="2927201"/>
                    </a:xfrm>
                    <a:prstGeom prst="rect">
                      <a:avLst/>
                    </a:prstGeom>
                    <a:noFill/>
                    <a:ln w="9525">
                      <a:noFill/>
                      <a:miter lim="800000"/>
                      <a:headEnd/>
                      <a:tailEnd/>
                    </a:ln>
                  </pic:spPr>
                </pic:pic>
              </a:graphicData>
            </a:graphic>
          </wp:inline>
        </w:drawing>
      </w:r>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 8. Предоставление услуг телефонии и </w:t>
      </w:r>
      <w:proofErr w:type="gramStart"/>
      <w:r w:rsidRPr="00CD3817">
        <w:rPr>
          <w:rFonts w:ascii="Times New Roman" w:eastAsia="Times New Roman" w:hAnsi="Times New Roman" w:cs="Times New Roman"/>
          <w:i/>
          <w:iCs/>
          <w:sz w:val="28"/>
          <w:szCs w:val="28"/>
        </w:rPr>
        <w:t>передачи</w:t>
      </w:r>
      <w:proofErr w:type="gramEnd"/>
      <w:r w:rsidRPr="00CD3817">
        <w:rPr>
          <w:rFonts w:ascii="Times New Roman" w:eastAsia="Times New Roman" w:hAnsi="Times New Roman" w:cs="Times New Roman"/>
          <w:i/>
          <w:iCs/>
          <w:sz w:val="28"/>
          <w:szCs w:val="28"/>
        </w:rPr>
        <w:t xml:space="preserve"> данных удаленным абонентам при помощи DLC</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Кроме того, в отличие от RSU для DLC не требуется создания климатических условий в месте размещения, а приемка-сдача в эксплуатацию производится надзорными органами по упрощенной схеме, что также экономит средства и время оператора.</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outlineLvl w:val="3"/>
        <w:rPr>
          <w:rFonts w:ascii="Times New Roman" w:eastAsia="Times New Roman" w:hAnsi="Times New Roman" w:cs="Times New Roman"/>
          <w:bCs/>
          <w:sz w:val="28"/>
          <w:szCs w:val="28"/>
        </w:rPr>
      </w:pPr>
      <w:r w:rsidRPr="00CD3817">
        <w:rPr>
          <w:rFonts w:ascii="Times New Roman" w:eastAsia="Times New Roman" w:hAnsi="Times New Roman" w:cs="Times New Roman"/>
          <w:bCs/>
          <w:sz w:val="28"/>
          <w:szCs w:val="28"/>
        </w:rPr>
        <w:t>Соотношение стоимости подключения порта при использовании DLC и RSU</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Для удобства сравнения стоимость решений представлена в виде графиков, где всплески обусловлены добавлением новой карты или шасси при увеличении числа абонентов.</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bCs/>
          <w:sz w:val="28"/>
          <w:szCs w:val="28"/>
        </w:rPr>
        <w:t>Предоставление услуг телефонии. Сравнение затрат на предоставление услуг телефонии удаленным абонентам.</w:t>
      </w:r>
      <w:r w:rsidRPr="00CD3817">
        <w:rPr>
          <w:rFonts w:ascii="Times New Roman" w:eastAsia="Times New Roman" w:hAnsi="Times New Roman" w:cs="Times New Roman"/>
          <w:sz w:val="28"/>
          <w:szCs w:val="28"/>
        </w:rPr>
        <w:t xml:space="preserve"> Для корректного сравнения с абонентским концентратором целесообразно взять коммутатор небольшой емкости (около 200 абонентских линий на одном шасси), имеющий модульную конструкцию. Предположим, в качестве RSU используется отечественная АТС — «Протон-Алмаз», «Квант» и т. п. Стоимость решения с DLC рассчитана на примере концентратора НТС-1100Е производства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Technologies</w:t>
      </w:r>
      <w:proofErr w:type="spellEnd"/>
      <w:r w:rsidRPr="00CD3817">
        <w:rPr>
          <w:rFonts w:ascii="Times New Roman" w:eastAsia="Times New Roman" w:hAnsi="Times New Roman" w:cs="Times New Roman"/>
          <w:sz w:val="28"/>
          <w:szCs w:val="28"/>
        </w:rPr>
        <w:t>, поставляемого компанией ИМАГ.</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Для расчета стоимости порта для RSU и DLC необходимо учесть затраты на шасси (включая блоки питания и управления</w:t>
      </w:r>
      <w:proofErr w:type="gramStart"/>
      <w:r w:rsidRPr="00CD3817">
        <w:rPr>
          <w:rFonts w:ascii="Times New Roman" w:eastAsia="Times New Roman" w:hAnsi="Times New Roman" w:cs="Times New Roman"/>
          <w:sz w:val="28"/>
          <w:szCs w:val="28"/>
        </w:rPr>
        <w:t>)и</w:t>
      </w:r>
      <w:proofErr w:type="gramEnd"/>
      <w:r w:rsidRPr="00CD3817">
        <w:rPr>
          <w:rFonts w:ascii="Times New Roman" w:eastAsia="Times New Roman" w:hAnsi="Times New Roman" w:cs="Times New Roman"/>
          <w:sz w:val="28"/>
          <w:szCs w:val="28"/>
        </w:rPr>
        <w:t xml:space="preserve"> модули(абонентских линий и Е1). Типовой RSLJ позволяет подключить 20 абонентских линий на каждый модуль; в шасси можно установить 11 модулей. POTS-модули НТС-1100Е </w:t>
      </w:r>
      <w:proofErr w:type="gramStart"/>
      <w:r w:rsidRPr="00CD3817">
        <w:rPr>
          <w:rFonts w:ascii="Times New Roman" w:eastAsia="Times New Roman" w:hAnsi="Times New Roman" w:cs="Times New Roman"/>
          <w:sz w:val="28"/>
          <w:szCs w:val="28"/>
        </w:rPr>
        <w:t>рассчитаны</w:t>
      </w:r>
      <w:proofErr w:type="gramEnd"/>
      <w:r w:rsidRPr="00CD3817">
        <w:rPr>
          <w:rFonts w:ascii="Times New Roman" w:eastAsia="Times New Roman" w:hAnsi="Times New Roman" w:cs="Times New Roman"/>
          <w:sz w:val="28"/>
          <w:szCs w:val="28"/>
        </w:rPr>
        <w:t xml:space="preserve"> на 6 абонентов. В шасси можно установить 20 — 22 модуля(400-440).</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Поскольку RSU имеет шасси и модули абонентских линий большей емкости, чем DLC, при увеличении числа абонентов </w:t>
      </w:r>
      <w:proofErr w:type="spellStart"/>
      <w:proofErr w:type="gramStart"/>
      <w:r w:rsidRPr="00CD3817">
        <w:rPr>
          <w:rFonts w:ascii="Times New Roman" w:eastAsia="Times New Roman" w:hAnsi="Times New Roman" w:cs="Times New Roman"/>
          <w:sz w:val="28"/>
          <w:szCs w:val="28"/>
        </w:rPr>
        <w:t>дооснаще-ние</w:t>
      </w:r>
      <w:proofErr w:type="spellEnd"/>
      <w:proofErr w:type="gramEnd"/>
      <w:r w:rsidRPr="00CD3817">
        <w:rPr>
          <w:rFonts w:ascii="Times New Roman" w:eastAsia="Times New Roman" w:hAnsi="Times New Roman" w:cs="Times New Roman"/>
          <w:sz w:val="28"/>
          <w:szCs w:val="28"/>
        </w:rPr>
        <w:t xml:space="preserve"> RSU обойдется дороже. Цена шасси RSU превышает стоимость шасси DLC примерно в 3 раза, это же справедливо и для цены модулей.</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На рис. 9 представлен график измен</w:t>
      </w:r>
      <w:r w:rsidRPr="00CD3817">
        <w:rPr>
          <w:rFonts w:ascii="Times New Roman" w:eastAsia="Times New Roman" w:hAnsi="Times New Roman" w:cs="Times New Roman"/>
          <w:sz w:val="28"/>
          <w:szCs w:val="28"/>
          <w:shd w:val="clear" w:color="auto" w:fill="FFFFFF" w:themeFill="background1"/>
        </w:rPr>
        <w:t>ени</w:t>
      </w:r>
      <w:r w:rsidRPr="00CD3817">
        <w:rPr>
          <w:rFonts w:ascii="Times New Roman" w:eastAsia="Times New Roman" w:hAnsi="Times New Roman" w:cs="Times New Roman"/>
          <w:sz w:val="28"/>
          <w:szCs w:val="28"/>
        </w:rPr>
        <w:t>я стоимости обоих решений в зависимости от роста числа абонентов.</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lastRenderedPageBreak/>
        <w:drawing>
          <wp:inline distT="0" distB="0" distL="0" distR="0" wp14:anchorId="3616015D" wp14:editId="053F2D5F">
            <wp:extent cx="5514975" cy="2943225"/>
            <wp:effectExtent l="19050" t="0" r="9525" b="0"/>
            <wp:docPr id="3" name="Рисунок 3" descr="График изменения стоимости обоих решений в зависимости от роста числа абон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рафик изменения стоимости обоих решений в зависимости от роста числа абонентов"/>
                    <pic:cNvPicPr>
                      <a:picLocks noChangeAspect="1" noChangeArrowheads="1"/>
                    </pic:cNvPicPr>
                  </pic:nvPicPr>
                  <pic:blipFill>
                    <a:blip r:embed="rId9"/>
                    <a:srcRect/>
                    <a:stretch>
                      <a:fillRect/>
                    </a:stretch>
                  </pic:blipFill>
                  <pic:spPr bwMode="auto">
                    <a:xfrm>
                      <a:off x="0" y="0"/>
                      <a:ext cx="5514975" cy="2943225"/>
                    </a:xfrm>
                    <a:prstGeom prst="rect">
                      <a:avLst/>
                    </a:prstGeom>
                    <a:solidFill>
                      <a:sysClr val="window" lastClr="FFFFFF"/>
                    </a:solidFill>
                    <a:ln w="9525">
                      <a:noFill/>
                      <a:miter lim="800000"/>
                      <a:headEnd/>
                      <a:tailEnd/>
                    </a:ln>
                  </pic:spPr>
                </pic:pic>
              </a:graphicData>
            </a:graphic>
          </wp:inline>
        </w:drawing>
      </w:r>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 9. График изменения стоимости обоих решений в зависимости от роста числа абонентов</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Формула, по которой проводился расчет:</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drawing>
          <wp:inline distT="0" distB="0" distL="0" distR="0" wp14:anchorId="454A2EF9" wp14:editId="49F8EE88">
            <wp:extent cx="3810000" cy="742950"/>
            <wp:effectExtent l="19050" t="0" r="0" b="0"/>
            <wp:docPr id="4" name="Рисунок 4" descr="http://www.svpro.ru/i/articles/v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vpro.ru/i/articles/vs002.gif"/>
                    <pic:cNvPicPr>
                      <a:picLocks noChangeAspect="1" noChangeArrowheads="1"/>
                    </pic:cNvPicPr>
                  </pic:nvPicPr>
                  <pic:blipFill>
                    <a:blip r:embed="rId10"/>
                    <a:srcRect/>
                    <a:stretch>
                      <a:fillRect/>
                    </a:stretch>
                  </pic:blipFill>
                  <pic:spPr bwMode="auto">
                    <a:xfrm>
                      <a:off x="0" y="0"/>
                      <a:ext cx="3810000" cy="742950"/>
                    </a:xfrm>
                    <a:prstGeom prst="rect">
                      <a:avLst/>
                    </a:prstGeom>
                    <a:noFill/>
                    <a:ln w="9525">
                      <a:noFill/>
                      <a:miter lim="800000"/>
                      <a:headEnd/>
                      <a:tailEnd/>
                    </a:ln>
                  </pic:spPr>
                </pic:pic>
              </a:graphicData>
            </a:graphic>
          </wp:inline>
        </w:drawing>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где: </w:t>
      </w:r>
      <w:proofErr w:type="spellStart"/>
      <w:r w:rsidRPr="00CD3817">
        <w:rPr>
          <w:rFonts w:ascii="Times New Roman" w:eastAsia="Times New Roman" w:hAnsi="Times New Roman" w:cs="Times New Roman"/>
          <w:sz w:val="28"/>
          <w:szCs w:val="28"/>
        </w:rPr>
        <w:t>Р</w:t>
      </w:r>
      <w:r w:rsidRPr="00CD3817">
        <w:rPr>
          <w:rFonts w:ascii="Times New Roman" w:eastAsia="Times New Roman" w:hAnsi="Times New Roman" w:cs="Times New Roman"/>
          <w:i/>
          <w:iCs/>
          <w:sz w:val="28"/>
          <w:szCs w:val="28"/>
          <w:vertAlign w:val="subscript"/>
        </w:rPr>
        <w:t>ш</w:t>
      </w:r>
      <w:proofErr w:type="spellEnd"/>
      <w:r w:rsidRPr="00CD3817">
        <w:rPr>
          <w:rFonts w:ascii="Times New Roman" w:eastAsia="Times New Roman" w:hAnsi="Times New Roman" w:cs="Times New Roman"/>
          <w:sz w:val="28"/>
          <w:szCs w:val="28"/>
        </w:rPr>
        <w:t> — цена шасси;</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Р</w:t>
      </w:r>
      <w:r w:rsidRPr="00CD3817">
        <w:rPr>
          <w:rFonts w:ascii="Times New Roman" w:eastAsia="Times New Roman" w:hAnsi="Times New Roman" w:cs="Times New Roman"/>
          <w:i/>
          <w:iCs/>
          <w:sz w:val="28"/>
          <w:szCs w:val="28"/>
          <w:vertAlign w:val="subscript"/>
        </w:rPr>
        <w:t>ал</w:t>
      </w:r>
      <w:r w:rsidRPr="00CD3817">
        <w:rPr>
          <w:rFonts w:ascii="Times New Roman" w:eastAsia="Times New Roman" w:hAnsi="Times New Roman" w:cs="Times New Roman"/>
          <w:sz w:val="28"/>
          <w:szCs w:val="28"/>
        </w:rPr>
        <w:t> — цена модуля абонентских линий;</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P</w:t>
      </w:r>
      <w:r w:rsidRPr="00CD3817">
        <w:rPr>
          <w:rFonts w:ascii="Times New Roman" w:eastAsia="Times New Roman" w:hAnsi="Times New Roman" w:cs="Times New Roman"/>
          <w:i/>
          <w:iCs/>
          <w:sz w:val="28"/>
          <w:szCs w:val="28"/>
          <w:vertAlign w:val="subscript"/>
        </w:rPr>
        <w:t>E1</w:t>
      </w:r>
      <w:r w:rsidRPr="00CD3817">
        <w:rPr>
          <w:rFonts w:ascii="Times New Roman" w:eastAsia="Times New Roman" w:hAnsi="Times New Roman" w:cs="Times New Roman"/>
          <w:sz w:val="28"/>
          <w:szCs w:val="28"/>
        </w:rPr>
        <w:t> — цена модуля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proofErr w:type="spellStart"/>
      <w:r w:rsidRPr="00CD3817">
        <w:rPr>
          <w:rFonts w:ascii="Times New Roman" w:eastAsia="Times New Roman" w:hAnsi="Times New Roman" w:cs="Times New Roman"/>
          <w:sz w:val="28"/>
          <w:szCs w:val="28"/>
        </w:rPr>
        <w:t>С</w:t>
      </w:r>
      <w:r w:rsidRPr="00CD3817">
        <w:rPr>
          <w:rFonts w:ascii="Times New Roman" w:eastAsia="Times New Roman" w:hAnsi="Times New Roman" w:cs="Times New Roman"/>
          <w:i/>
          <w:iCs/>
          <w:sz w:val="28"/>
          <w:szCs w:val="28"/>
          <w:vertAlign w:val="subscript"/>
        </w:rPr>
        <w:t>ш</w:t>
      </w:r>
      <w:proofErr w:type="spellEnd"/>
      <w:r w:rsidRPr="00CD3817">
        <w:rPr>
          <w:rFonts w:ascii="Times New Roman" w:eastAsia="Times New Roman" w:hAnsi="Times New Roman" w:cs="Times New Roman"/>
          <w:sz w:val="28"/>
          <w:szCs w:val="28"/>
        </w:rPr>
        <w:t> — емкость шасси;</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С</w:t>
      </w:r>
      <w:r w:rsidRPr="00CD3817">
        <w:rPr>
          <w:rFonts w:ascii="Times New Roman" w:eastAsia="Times New Roman" w:hAnsi="Times New Roman" w:cs="Times New Roman"/>
          <w:i/>
          <w:iCs/>
          <w:sz w:val="28"/>
          <w:szCs w:val="28"/>
          <w:vertAlign w:val="subscript"/>
        </w:rPr>
        <w:t>ал</w:t>
      </w:r>
      <w:r w:rsidRPr="00CD3817">
        <w:rPr>
          <w:rFonts w:ascii="Times New Roman" w:eastAsia="Times New Roman" w:hAnsi="Times New Roman" w:cs="Times New Roman"/>
          <w:sz w:val="28"/>
          <w:szCs w:val="28"/>
        </w:rPr>
        <w:t> — емкость модуля абонентских линий;</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i/>
          <w:iCs/>
          <w:sz w:val="28"/>
          <w:szCs w:val="28"/>
        </w:rPr>
        <w:t>n</w:t>
      </w:r>
      <w:r w:rsidRPr="00CD3817">
        <w:rPr>
          <w:rFonts w:ascii="Times New Roman" w:eastAsia="Times New Roman" w:hAnsi="Times New Roman" w:cs="Times New Roman"/>
          <w:sz w:val="28"/>
          <w:szCs w:val="28"/>
        </w:rPr>
        <w:t> — число абонентских линий;</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i/>
          <w:iCs/>
          <w:sz w:val="28"/>
          <w:szCs w:val="28"/>
        </w:rPr>
        <w:t>k</w:t>
      </w:r>
      <w:r w:rsidRPr="00CD3817">
        <w:rPr>
          <w:rFonts w:ascii="Times New Roman" w:eastAsia="Times New Roman" w:hAnsi="Times New Roman" w:cs="Times New Roman"/>
          <w:sz w:val="28"/>
          <w:szCs w:val="28"/>
        </w:rPr>
        <w:t xml:space="preserve"> — коэффициент концентрации (для всех расчетов к выбран </w:t>
      </w:r>
      <w:proofErr w:type="gramStart"/>
      <w:r w:rsidRPr="00CD3817">
        <w:rPr>
          <w:rFonts w:ascii="Times New Roman" w:eastAsia="Times New Roman" w:hAnsi="Times New Roman" w:cs="Times New Roman"/>
          <w:sz w:val="28"/>
          <w:szCs w:val="28"/>
        </w:rPr>
        <w:t>равным</w:t>
      </w:r>
      <w:proofErr w:type="gramEnd"/>
      <w:r w:rsidRPr="00CD3817">
        <w:rPr>
          <w:rFonts w:ascii="Times New Roman" w:eastAsia="Times New Roman" w:hAnsi="Times New Roman" w:cs="Times New Roman"/>
          <w:sz w:val="28"/>
          <w:szCs w:val="28"/>
        </w:rPr>
        <w:t xml:space="preserve"> 4).</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Сравнение затрат на передачу потоков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(на одного абонента). Использование возможностей DLC для транспорта потоков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при удаленном подключении (по сравнению с RSU) также приводит к значительной экономии средств. Сравним стоимость передачи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xml:space="preserve"> по медным проводам при подключении RSU с использованием модемов Watson5 производства </w:t>
      </w:r>
      <w:proofErr w:type="spellStart"/>
      <w:r w:rsidRPr="00CD3817">
        <w:rPr>
          <w:rFonts w:ascii="Times New Roman" w:eastAsia="Times New Roman" w:hAnsi="Times New Roman" w:cs="Times New Roman"/>
          <w:sz w:val="28"/>
          <w:szCs w:val="28"/>
        </w:rPr>
        <w:t>Schmid</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Telecom</w:t>
      </w:r>
      <w:proofErr w:type="spellEnd"/>
      <w:r w:rsidRPr="00CD3817">
        <w:rPr>
          <w:rFonts w:ascii="Times New Roman" w:eastAsia="Times New Roman" w:hAnsi="Times New Roman" w:cs="Times New Roman"/>
          <w:sz w:val="28"/>
          <w:szCs w:val="28"/>
        </w:rPr>
        <w:t xml:space="preserve"> (официально </w:t>
      </w:r>
      <w:r w:rsidRPr="00CD3817">
        <w:rPr>
          <w:rFonts w:ascii="Times New Roman" w:eastAsia="Times New Roman" w:hAnsi="Times New Roman" w:cs="Times New Roman"/>
          <w:sz w:val="28"/>
          <w:szCs w:val="28"/>
        </w:rPr>
        <w:lastRenderedPageBreak/>
        <w:t>поставляемых компанией ИМАГ) и при подключении DLC с использованием встраиваемых модулей G. SHDSL.</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Для схемы с RSU, где уже установлены локальный и головной коммутаторы, необходимо два DSL-модема (или карты в общем шасси) для транспорта каждого потока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что при использовании Watson5 составляет 1840 долл. за пару (рис. 7). Для схемы с DLC, где уже установлен абонентский полукомплект (RST) концентратора НТС-1100Е, необходимо дополнительно установить станционный полукомплект (LET), а также карты G. SHDSL в оба полукомплекта, что в сумме составит 2010 долл.</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При увеличении числа потоков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до четырех в схеме «</w:t>
      </w:r>
      <w:proofErr w:type="spellStart"/>
      <w:r w:rsidRPr="00CD3817">
        <w:rPr>
          <w:rFonts w:ascii="Times New Roman" w:eastAsia="Times New Roman" w:hAnsi="Times New Roman" w:cs="Times New Roman"/>
          <w:sz w:val="28"/>
          <w:szCs w:val="28"/>
        </w:rPr>
        <w:t>RSU+модемы</w:t>
      </w:r>
      <w:proofErr w:type="spell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Watson</w:t>
      </w:r>
      <w:proofErr w:type="spellEnd"/>
      <w:r w:rsidRPr="00CD3817">
        <w:rPr>
          <w:rFonts w:ascii="Times New Roman" w:eastAsia="Times New Roman" w:hAnsi="Times New Roman" w:cs="Times New Roman"/>
          <w:sz w:val="28"/>
          <w:szCs w:val="28"/>
        </w:rPr>
        <w:t>» становится оправданной установка модемов Watson5 4хЕ1 (пара модемов на 4 потока Е1, работающих по четырем парам) в 12-слотовое шасси, стоимость которого вместе с модулями питания и управления составит порядка 1600 долл. (3200 долл. за пару). Для 16 потоков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(что соответствует 2 тыс. абонентских линий) общая стоимость модемов Watson5 в 12-слотовых шасси составит порядка 20 тыс. долл., а общая стоимость шасси LET и карт G. SHDSLfl^flHTC-1100E-14610 долл.</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Таким образом, стоимость транспорта 16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при использовании RSU и внешних модемов составляет около 10 долл. за порт, а при использовании DLC с соответствующими картами — 7.5 долл. за порт.</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На рис. 9 представлен график изменения затрат на передачу Е</w:t>
      </w:r>
      <w:proofErr w:type="gramStart"/>
      <w:r w:rsidRPr="00CD3817">
        <w:rPr>
          <w:rFonts w:ascii="Times New Roman" w:eastAsia="Times New Roman" w:hAnsi="Times New Roman" w:cs="Times New Roman"/>
          <w:sz w:val="28"/>
          <w:szCs w:val="28"/>
        </w:rPr>
        <w:t>1</w:t>
      </w:r>
      <w:proofErr w:type="gramEnd"/>
      <w:r w:rsidRPr="00CD3817">
        <w:rPr>
          <w:rFonts w:ascii="Times New Roman" w:eastAsia="Times New Roman" w:hAnsi="Times New Roman" w:cs="Times New Roman"/>
          <w:sz w:val="28"/>
          <w:szCs w:val="28"/>
        </w:rPr>
        <w:t> в зависимости от роста числа абонентов.</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lastRenderedPageBreak/>
        <w:drawing>
          <wp:inline distT="0" distB="0" distL="0" distR="0" wp14:anchorId="751C5E21" wp14:editId="5C54186A">
            <wp:extent cx="5295900" cy="2914650"/>
            <wp:effectExtent l="19050" t="0" r="0" b="0"/>
            <wp:docPr id="5" name="Рисунок 5" descr="График изменения затрат на передачу Е1 в зависимости от роста числа абон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фик изменения затрат на передачу Е1 в зависимости от роста числа абонентов"/>
                    <pic:cNvPicPr>
                      <a:picLocks noChangeAspect="1" noChangeArrowheads="1"/>
                    </pic:cNvPicPr>
                  </pic:nvPicPr>
                  <pic:blipFill>
                    <a:blip r:embed="rId11"/>
                    <a:srcRect/>
                    <a:stretch>
                      <a:fillRect/>
                    </a:stretch>
                  </pic:blipFill>
                  <pic:spPr bwMode="auto">
                    <a:xfrm>
                      <a:off x="0" y="0"/>
                      <a:ext cx="5295900" cy="2914650"/>
                    </a:xfrm>
                    <a:prstGeom prst="rect">
                      <a:avLst/>
                    </a:prstGeom>
                    <a:noFill/>
                    <a:ln w="9525">
                      <a:noFill/>
                      <a:miter lim="800000"/>
                      <a:headEnd/>
                      <a:tailEnd/>
                    </a:ln>
                  </pic:spPr>
                </pic:pic>
              </a:graphicData>
            </a:graphic>
          </wp:inline>
        </w:drawing>
      </w:r>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 9. График изменения затрат на передачу Е</w:t>
      </w:r>
      <w:proofErr w:type="gramStart"/>
      <w:r w:rsidRPr="00CD3817">
        <w:rPr>
          <w:rFonts w:ascii="Times New Roman" w:eastAsia="Times New Roman" w:hAnsi="Times New Roman" w:cs="Times New Roman"/>
          <w:i/>
          <w:iCs/>
          <w:sz w:val="28"/>
          <w:szCs w:val="28"/>
        </w:rPr>
        <w:t>1</w:t>
      </w:r>
      <w:proofErr w:type="gramEnd"/>
      <w:r w:rsidRPr="00CD3817">
        <w:rPr>
          <w:rFonts w:ascii="Times New Roman" w:eastAsia="Times New Roman" w:hAnsi="Times New Roman" w:cs="Times New Roman"/>
          <w:i/>
          <w:iCs/>
          <w:sz w:val="28"/>
          <w:szCs w:val="28"/>
        </w:rPr>
        <w:t> в зависимости от роста числа абонентов</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Формула, по которой проводился расчет:</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drawing>
          <wp:inline distT="0" distB="0" distL="0" distR="0" wp14:anchorId="798CC0F2" wp14:editId="27D2EC37">
            <wp:extent cx="2857500" cy="752475"/>
            <wp:effectExtent l="19050" t="0" r="0" b="0"/>
            <wp:docPr id="6" name="Рисунок 6" descr="http://www.svpro.ru/i/articles/v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vpro.ru/i/articles/vs003.gif"/>
                    <pic:cNvPicPr>
                      <a:picLocks noChangeAspect="1" noChangeArrowheads="1"/>
                    </pic:cNvPicPr>
                  </pic:nvPicPr>
                  <pic:blipFill>
                    <a:blip r:embed="rId12"/>
                    <a:srcRect/>
                    <a:stretch>
                      <a:fillRect/>
                    </a:stretch>
                  </pic:blipFill>
                  <pic:spPr bwMode="auto">
                    <a:xfrm>
                      <a:off x="0" y="0"/>
                      <a:ext cx="2857500" cy="752475"/>
                    </a:xfrm>
                    <a:prstGeom prst="rect">
                      <a:avLst/>
                    </a:prstGeom>
                    <a:noFill/>
                    <a:ln w="9525">
                      <a:noFill/>
                      <a:miter lim="800000"/>
                      <a:headEnd/>
                      <a:tailEnd/>
                    </a:ln>
                  </pic:spPr>
                </pic:pic>
              </a:graphicData>
            </a:graphic>
          </wp:inline>
        </w:drawing>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где: </w:t>
      </w:r>
      <w:proofErr w:type="spellStart"/>
      <w:r w:rsidRPr="00CD3817">
        <w:rPr>
          <w:rFonts w:ascii="Times New Roman" w:eastAsia="Times New Roman" w:hAnsi="Times New Roman" w:cs="Times New Roman"/>
          <w:sz w:val="28"/>
          <w:szCs w:val="28"/>
        </w:rPr>
        <w:t>Р</w:t>
      </w:r>
      <w:r w:rsidRPr="00CD3817">
        <w:rPr>
          <w:rFonts w:ascii="Times New Roman" w:eastAsia="Times New Roman" w:hAnsi="Times New Roman" w:cs="Times New Roman"/>
          <w:i/>
          <w:iCs/>
          <w:sz w:val="28"/>
          <w:szCs w:val="28"/>
          <w:vertAlign w:val="subscript"/>
        </w:rPr>
        <w:t>ш</w:t>
      </w:r>
      <w:proofErr w:type="spellEnd"/>
      <w:r w:rsidRPr="00CD3817">
        <w:rPr>
          <w:rFonts w:ascii="Times New Roman" w:eastAsia="Times New Roman" w:hAnsi="Times New Roman" w:cs="Times New Roman"/>
          <w:sz w:val="28"/>
          <w:szCs w:val="28"/>
        </w:rPr>
        <w:t> — цена шасси;</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proofErr w:type="spellStart"/>
      <w:r w:rsidRPr="00CD3817">
        <w:rPr>
          <w:rFonts w:ascii="Times New Roman" w:eastAsia="Times New Roman" w:hAnsi="Times New Roman" w:cs="Times New Roman"/>
          <w:sz w:val="28"/>
          <w:szCs w:val="28"/>
        </w:rPr>
        <w:t>Р</w:t>
      </w:r>
      <w:proofErr w:type="gramStart"/>
      <w:r w:rsidRPr="00CD3817">
        <w:rPr>
          <w:rFonts w:ascii="Times New Roman" w:eastAsia="Times New Roman" w:hAnsi="Times New Roman" w:cs="Times New Roman"/>
          <w:i/>
          <w:iCs/>
          <w:sz w:val="28"/>
          <w:szCs w:val="28"/>
          <w:vertAlign w:val="subscript"/>
        </w:rPr>
        <w:t>k</w:t>
      </w:r>
      <w:proofErr w:type="spellEnd"/>
      <w:proofErr w:type="gramEnd"/>
      <w:r w:rsidRPr="00CD3817">
        <w:rPr>
          <w:rFonts w:ascii="Times New Roman" w:eastAsia="Times New Roman" w:hAnsi="Times New Roman" w:cs="Times New Roman"/>
          <w:sz w:val="28"/>
          <w:szCs w:val="28"/>
        </w:rPr>
        <w:t> — цена линейного модуля;</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proofErr w:type="spellStart"/>
      <w:r w:rsidRPr="00CD3817">
        <w:rPr>
          <w:rFonts w:ascii="Times New Roman" w:eastAsia="Times New Roman" w:hAnsi="Times New Roman" w:cs="Times New Roman"/>
          <w:sz w:val="28"/>
          <w:szCs w:val="28"/>
        </w:rPr>
        <w:t>С</w:t>
      </w:r>
      <w:r w:rsidRPr="00CD3817">
        <w:rPr>
          <w:rFonts w:ascii="Times New Roman" w:eastAsia="Times New Roman" w:hAnsi="Times New Roman" w:cs="Times New Roman"/>
          <w:i/>
          <w:iCs/>
          <w:sz w:val="28"/>
          <w:szCs w:val="28"/>
          <w:vertAlign w:val="subscript"/>
        </w:rPr>
        <w:t>ш</w:t>
      </w:r>
      <w:proofErr w:type="spellEnd"/>
      <w:r w:rsidRPr="00CD3817">
        <w:rPr>
          <w:rFonts w:ascii="Times New Roman" w:eastAsia="Times New Roman" w:hAnsi="Times New Roman" w:cs="Times New Roman"/>
          <w:sz w:val="28"/>
          <w:szCs w:val="28"/>
        </w:rPr>
        <w:t> — емкость шасси;</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proofErr w:type="spellStart"/>
      <w:r w:rsidRPr="00CD3817">
        <w:rPr>
          <w:rFonts w:ascii="Times New Roman" w:eastAsia="Times New Roman" w:hAnsi="Times New Roman" w:cs="Times New Roman"/>
          <w:sz w:val="28"/>
          <w:szCs w:val="28"/>
        </w:rPr>
        <w:t>С</w:t>
      </w:r>
      <w:proofErr w:type="gramStart"/>
      <w:r w:rsidRPr="00CD3817">
        <w:rPr>
          <w:rFonts w:ascii="Times New Roman" w:eastAsia="Times New Roman" w:hAnsi="Times New Roman" w:cs="Times New Roman"/>
          <w:i/>
          <w:iCs/>
          <w:sz w:val="28"/>
          <w:szCs w:val="28"/>
          <w:vertAlign w:val="subscript"/>
        </w:rPr>
        <w:t>k</w:t>
      </w:r>
      <w:proofErr w:type="spellEnd"/>
      <w:proofErr w:type="gramEnd"/>
      <w:r w:rsidRPr="00CD3817">
        <w:rPr>
          <w:rFonts w:ascii="Times New Roman" w:eastAsia="Times New Roman" w:hAnsi="Times New Roman" w:cs="Times New Roman"/>
          <w:sz w:val="28"/>
          <w:szCs w:val="28"/>
        </w:rPr>
        <w:t> — емкость линейного модуля;</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i/>
          <w:iCs/>
          <w:sz w:val="28"/>
          <w:szCs w:val="28"/>
        </w:rPr>
        <w:t>n</w:t>
      </w:r>
      <w:r w:rsidRPr="00CD3817">
        <w:rPr>
          <w:rFonts w:ascii="Times New Roman" w:eastAsia="Times New Roman" w:hAnsi="Times New Roman" w:cs="Times New Roman"/>
          <w:sz w:val="28"/>
          <w:szCs w:val="28"/>
        </w:rPr>
        <w:t> — число абонентских линий.</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При добавлении к существующим узкополосным услугам услуги ADSL возникает необходимость подключения к транспортным сетям по более высокоскоростному каналу. Поэтому требуется использование оптоволоконных линий, например, со скоростью передачи 155 Мбит/с (STM-1).</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bookmarkStart w:id="0" w:name="_GoBack"/>
      <w:r w:rsidRPr="00CD3817">
        <w:rPr>
          <w:rFonts w:ascii="Times New Roman" w:eastAsia="Times New Roman" w:hAnsi="Times New Roman" w:cs="Times New Roman"/>
          <w:noProof/>
          <w:sz w:val="28"/>
          <w:szCs w:val="28"/>
        </w:rPr>
        <w:lastRenderedPageBreak/>
        <w:drawing>
          <wp:inline distT="0" distB="0" distL="0" distR="0" wp14:anchorId="39E551C9" wp14:editId="2D7F5BAB">
            <wp:extent cx="5343525" cy="2943225"/>
            <wp:effectExtent l="19050" t="0" r="9525" b="0"/>
            <wp:docPr id="7" name="Рисунок 7" descr="Предоставление услуг телефонии и передачи данных удаленным абонентам при помощи 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редоставление услуг телефонии и передачи данных удаленным абонентам при помощи RSU"/>
                    <pic:cNvPicPr>
                      <a:picLocks noChangeAspect="1" noChangeArrowheads="1"/>
                    </pic:cNvPicPr>
                  </pic:nvPicPr>
                  <pic:blipFill>
                    <a:blip r:embed="rId13"/>
                    <a:srcRect/>
                    <a:stretch>
                      <a:fillRect/>
                    </a:stretch>
                  </pic:blipFill>
                  <pic:spPr bwMode="auto">
                    <a:xfrm>
                      <a:off x="0" y="0"/>
                      <a:ext cx="5343525" cy="2943225"/>
                    </a:xfrm>
                    <a:prstGeom prst="rect">
                      <a:avLst/>
                    </a:prstGeom>
                    <a:noFill/>
                    <a:ln w="9525">
                      <a:noFill/>
                      <a:miter lim="800000"/>
                      <a:headEnd/>
                      <a:tailEnd/>
                    </a:ln>
                  </pic:spPr>
                </pic:pic>
              </a:graphicData>
            </a:graphic>
          </wp:inline>
        </w:drawing>
      </w:r>
      <w:bookmarkEnd w:id="0"/>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 10. Предоставление услуг телефонии и </w:t>
      </w:r>
      <w:proofErr w:type="gramStart"/>
      <w:r w:rsidRPr="00CD3817">
        <w:rPr>
          <w:rFonts w:ascii="Times New Roman" w:eastAsia="Times New Roman" w:hAnsi="Times New Roman" w:cs="Times New Roman"/>
          <w:i/>
          <w:iCs/>
          <w:sz w:val="28"/>
          <w:szCs w:val="28"/>
        </w:rPr>
        <w:t>передачи</w:t>
      </w:r>
      <w:proofErr w:type="gramEnd"/>
      <w:r w:rsidRPr="00CD3817">
        <w:rPr>
          <w:rFonts w:ascii="Times New Roman" w:eastAsia="Times New Roman" w:hAnsi="Times New Roman" w:cs="Times New Roman"/>
          <w:i/>
          <w:iCs/>
          <w:sz w:val="28"/>
          <w:szCs w:val="28"/>
        </w:rPr>
        <w:t xml:space="preserve"> данных удаленным абонентам при помощи RSU</w:t>
      </w:r>
      <w:r w:rsidRPr="00CD3817">
        <w:rPr>
          <w:rFonts w:ascii="Times New Roman" w:eastAsia="Times New Roman" w:hAnsi="Times New Roman" w:cs="Times New Roman"/>
          <w:sz w:val="28"/>
          <w:szCs w:val="28"/>
        </w:rPr>
        <w:t xml:space="preserve"> </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При использовании коммутатора RSU необходима установка оптических мультиплексоров. В отличие от RSU, абонентский концентратор нового поколения, такой как НТС-1100Е, может быть оснащен встраиваемыми модулями STM-1, что позволяет отказаться от дополнительного оборудования и тем самым экономит средства оператора.</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В табл. 1 приведены цены на дооснащение DLC (модули STM-1 для НТС-1100Е) и RSU (в качестве примера взят терминальный мультиплексор </w:t>
      </w:r>
      <w:proofErr w:type="spellStart"/>
      <w:r w:rsidRPr="00CD3817">
        <w:rPr>
          <w:rFonts w:ascii="Times New Roman" w:eastAsia="Times New Roman" w:hAnsi="Times New Roman" w:cs="Times New Roman"/>
          <w:sz w:val="28"/>
          <w:szCs w:val="28"/>
        </w:rPr>
        <w:t>Sagem</w:t>
      </w:r>
      <w:proofErr w:type="spellEnd"/>
      <w:r w:rsidRPr="00CD3817">
        <w:rPr>
          <w:rFonts w:ascii="Times New Roman" w:eastAsia="Times New Roman" w:hAnsi="Times New Roman" w:cs="Times New Roman"/>
          <w:sz w:val="28"/>
          <w:szCs w:val="28"/>
        </w:rPr>
        <w:t xml:space="preserve"> ADR155C, поставляемый компанией ИМАГ). Предполагается, что количество пользователей ADSL составляет 10 % от общего числа обслуживаемых абонентов.</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b/>
          <w:bCs/>
          <w:sz w:val="28"/>
          <w:szCs w:val="28"/>
        </w:rPr>
        <w:t>Таблица 1</w:t>
      </w:r>
    </w:p>
    <w:tbl>
      <w:tblPr>
        <w:tblW w:w="4950" w:type="pct"/>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410"/>
        <w:gridCol w:w="1804"/>
        <w:gridCol w:w="1862"/>
        <w:gridCol w:w="1275"/>
      </w:tblGrid>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Количество </w:t>
            </w:r>
            <w:proofErr w:type="spellStart"/>
            <w:r w:rsidRPr="00CD3817">
              <w:rPr>
                <w:rFonts w:ascii="Times New Roman" w:eastAsia="Times New Roman" w:hAnsi="Times New Roman" w:cs="Times New Roman"/>
                <w:sz w:val="28"/>
                <w:szCs w:val="28"/>
              </w:rPr>
              <w:t>аб</w:t>
            </w:r>
            <w:proofErr w:type="spellEnd"/>
            <w:r w:rsidRPr="00CD3817">
              <w:rPr>
                <w:rFonts w:ascii="Times New Roman" w:eastAsia="Times New Roman" w:hAnsi="Times New Roman" w:cs="Times New Roman"/>
                <w:sz w:val="28"/>
                <w:szCs w:val="28"/>
              </w:rPr>
              <w:t>. линий / ADSL-линий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100-400 /10-40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500-800 / 50-80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1000 / 100</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STM-1 для HTC-1100E, долл.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3300</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ADR-155C, долл.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5700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6800</w:t>
            </w:r>
          </w:p>
        </w:tc>
      </w:tr>
    </w:tbl>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Чтобы обеспечить подключение ADSL-клиентов к сетям общего пользования, в схеме с использованием DLC достаточно установить LET (станционный полукомплект) и использовать модули STM-1 (155 Мбит/с).</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proofErr w:type="gramStart"/>
      <w:r w:rsidRPr="00CD3817">
        <w:rPr>
          <w:rFonts w:ascii="Times New Roman" w:eastAsia="Times New Roman" w:hAnsi="Times New Roman" w:cs="Times New Roman"/>
          <w:sz w:val="28"/>
          <w:szCs w:val="28"/>
        </w:rPr>
        <w:t>При организации схемы LET-RST появляется возможность управления из одного центра всеми RST системы, подключенными либо к данному LET, либо последовательно к первому RST.</w:t>
      </w:r>
      <w:proofErr w:type="gramEnd"/>
      <w:r w:rsidRPr="00CD3817">
        <w:rPr>
          <w:rFonts w:ascii="Times New Roman" w:eastAsia="Times New Roman" w:hAnsi="Times New Roman" w:cs="Times New Roman"/>
          <w:sz w:val="28"/>
          <w:szCs w:val="28"/>
        </w:rPr>
        <w:t xml:space="preserve"> При этом достигается ощутимая экономия средств, так как для дальнейшей передачи сигнала потребуются только карты DLC без затрат на шасси, блоки управления и источники питания.</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На рис. 6 представлен график с указанием затрат на транспорт при использовании возможностей концентраторов (DLC) и установке отдельных мультиплексоров для оказания широкополосных услуг. Из него, а также из таблицы цен следует, что при росте числа абонентов экономия затрат приближается </w:t>
      </w:r>
      <w:proofErr w:type="gramStart"/>
      <w:r w:rsidRPr="00CD3817">
        <w:rPr>
          <w:rFonts w:ascii="Times New Roman" w:eastAsia="Times New Roman" w:hAnsi="Times New Roman" w:cs="Times New Roman"/>
          <w:sz w:val="28"/>
          <w:szCs w:val="28"/>
        </w:rPr>
        <w:t>к</w:t>
      </w:r>
      <w:proofErr w:type="gramEnd"/>
      <w:r w:rsidRPr="00CD3817">
        <w:rPr>
          <w:rFonts w:ascii="Times New Roman" w:eastAsia="Times New Roman" w:hAnsi="Times New Roman" w:cs="Times New Roman"/>
          <w:sz w:val="28"/>
          <w:szCs w:val="28"/>
        </w:rPr>
        <w:t> двукратной.</w:t>
      </w:r>
    </w:p>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drawing>
          <wp:inline distT="0" distB="0" distL="0" distR="0" wp14:anchorId="0AA6F3E3" wp14:editId="41E6F187">
            <wp:extent cx="5448827" cy="2708694"/>
            <wp:effectExtent l="19050" t="0" r="0" b="0"/>
            <wp:docPr id="8" name="Рисунок 8" descr="Затраты на 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Затраты на транспорт"/>
                    <pic:cNvPicPr>
                      <a:picLocks noChangeAspect="1" noChangeArrowheads="1"/>
                    </pic:cNvPicPr>
                  </pic:nvPicPr>
                  <pic:blipFill>
                    <a:blip r:embed="rId14"/>
                    <a:srcRect/>
                    <a:stretch>
                      <a:fillRect/>
                    </a:stretch>
                  </pic:blipFill>
                  <pic:spPr bwMode="auto">
                    <a:xfrm>
                      <a:off x="0" y="0"/>
                      <a:ext cx="5450159" cy="2709356"/>
                    </a:xfrm>
                    <a:prstGeom prst="rect">
                      <a:avLst/>
                    </a:prstGeom>
                    <a:noFill/>
                    <a:ln w="9525">
                      <a:noFill/>
                      <a:miter lim="800000"/>
                      <a:headEnd/>
                      <a:tailEnd/>
                    </a:ln>
                  </pic:spPr>
                </pic:pic>
              </a:graphicData>
            </a:graphic>
          </wp:inline>
        </w:drawing>
      </w:r>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Рис.11. Затраты на транспорт.</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Сравнение затрат на разворачивание услуг ADSL-доступа. Рассмотрим стоимость открытия самой услуги широкополосного доступа (ADSL), при сопряжении с сетью передачи данных общего пользования. Приведем сравнение затрат при использовании НТС-1100Е и компактного DSL-концентратора абонентского доступа (DSLAM) </w:t>
      </w:r>
      <w:proofErr w:type="spellStart"/>
      <w:r w:rsidRPr="00CD3817">
        <w:rPr>
          <w:rFonts w:ascii="Times New Roman" w:eastAsia="Times New Roman" w:hAnsi="Times New Roman" w:cs="Times New Roman"/>
          <w:sz w:val="28"/>
          <w:szCs w:val="28"/>
        </w:rPr>
        <w:lastRenderedPageBreak/>
        <w:t>GranDSLAM</w:t>
      </w:r>
      <w:proofErr w:type="spellEnd"/>
      <w:r w:rsidRPr="00CD3817">
        <w:rPr>
          <w:rFonts w:ascii="Times New Roman" w:eastAsia="Times New Roman" w:hAnsi="Times New Roman" w:cs="Times New Roman"/>
          <w:sz w:val="28"/>
          <w:szCs w:val="28"/>
        </w:rPr>
        <w:t xml:space="preserve"> 4200IP производства </w:t>
      </w:r>
      <w:proofErr w:type="spellStart"/>
      <w:r w:rsidRPr="00CD3817">
        <w:rPr>
          <w:rFonts w:ascii="Times New Roman" w:eastAsia="Times New Roman" w:hAnsi="Times New Roman" w:cs="Times New Roman"/>
          <w:sz w:val="28"/>
          <w:szCs w:val="28"/>
        </w:rPr>
        <w:t>Paradyne</w:t>
      </w:r>
      <w:proofErr w:type="spellEnd"/>
      <w:r w:rsidRPr="00CD3817">
        <w:rPr>
          <w:rFonts w:ascii="Times New Roman" w:eastAsia="Times New Roman" w:hAnsi="Times New Roman" w:cs="Times New Roman"/>
          <w:sz w:val="28"/>
          <w:szCs w:val="28"/>
        </w:rPr>
        <w:t xml:space="preserve"> (дистрибьютор в России — компания ИМАГ)</w:t>
      </w:r>
      <w:proofErr w:type="gramStart"/>
      <w:r w:rsidRPr="00CD3817">
        <w:rPr>
          <w:rFonts w:ascii="Times New Roman" w:eastAsia="Times New Roman" w:hAnsi="Times New Roman" w:cs="Times New Roman"/>
          <w:sz w:val="28"/>
          <w:szCs w:val="28"/>
        </w:rPr>
        <w:t>.Д</w:t>
      </w:r>
      <w:proofErr w:type="gramEnd"/>
      <w:r w:rsidRPr="00CD3817">
        <w:rPr>
          <w:rFonts w:ascii="Times New Roman" w:eastAsia="Times New Roman" w:hAnsi="Times New Roman" w:cs="Times New Roman"/>
          <w:sz w:val="28"/>
          <w:szCs w:val="28"/>
        </w:rPr>
        <w:t xml:space="preserve">ля предоставления услуг широкополосного доступа удаленным абонентам в оборудование НТС-1100Е необходимо установить модули ADSL и агрегатные модули ETC. При использовании оборудования DSLAM производства </w:t>
      </w:r>
      <w:proofErr w:type="spellStart"/>
      <w:r w:rsidRPr="00CD3817">
        <w:rPr>
          <w:rFonts w:ascii="Times New Roman" w:eastAsia="Times New Roman" w:hAnsi="Times New Roman" w:cs="Times New Roman"/>
          <w:sz w:val="28"/>
          <w:szCs w:val="28"/>
        </w:rPr>
        <w:t>Paradyne</w:t>
      </w:r>
      <w:proofErr w:type="spellEnd"/>
      <w:r w:rsidRPr="00CD3817">
        <w:rPr>
          <w:rFonts w:ascii="Times New Roman" w:eastAsia="Times New Roman" w:hAnsi="Times New Roman" w:cs="Times New Roman"/>
          <w:sz w:val="28"/>
          <w:szCs w:val="28"/>
        </w:rPr>
        <w:t xml:space="preserve"> для подключения к IP-коммутатору необходимо установить шасси на 24 абонентских порта, стоимость которого для конечного пользователя составляет 4524 долл.</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В табл. 2 приведено сравнение стоимости решений для различного числа абонентов POTS/ADSL, где доля ADSL-абонентов составляет 10 % от общего числа (POTS).</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b/>
          <w:bCs/>
          <w:sz w:val="28"/>
          <w:szCs w:val="28"/>
        </w:rPr>
        <w:t xml:space="preserve">                                                                                  Таблица 2</w:t>
      </w:r>
    </w:p>
    <w:tbl>
      <w:tblPr>
        <w:tblW w:w="4950" w:type="pct"/>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407"/>
        <w:gridCol w:w="868"/>
        <w:gridCol w:w="868"/>
        <w:gridCol w:w="868"/>
        <w:gridCol w:w="868"/>
        <w:gridCol w:w="868"/>
        <w:gridCol w:w="868"/>
        <w:gridCol w:w="868"/>
        <w:gridCol w:w="868"/>
      </w:tblGrid>
      <w:tr w:rsidR="00CD3817" w:rsidRPr="00CD3817" w:rsidTr="00A645AA">
        <w:trPr>
          <w:jc w:val="center"/>
        </w:trPr>
        <w:tc>
          <w:tcPr>
            <w:tcW w:w="140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Количество </w:t>
            </w:r>
            <w:proofErr w:type="spellStart"/>
            <w:r w:rsidRPr="00CD3817">
              <w:rPr>
                <w:rFonts w:ascii="Times New Roman" w:eastAsia="Times New Roman" w:hAnsi="Times New Roman" w:cs="Times New Roman"/>
                <w:sz w:val="28"/>
                <w:szCs w:val="28"/>
              </w:rPr>
              <w:t>аб</w:t>
            </w:r>
            <w:proofErr w:type="spellEnd"/>
            <w:r w:rsidRPr="00CD3817">
              <w:rPr>
                <w:rFonts w:ascii="Times New Roman" w:eastAsia="Times New Roman" w:hAnsi="Times New Roman" w:cs="Times New Roman"/>
                <w:sz w:val="28"/>
                <w:szCs w:val="28"/>
              </w:rPr>
              <w:t>. линий /ADSL-линий</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120/12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240/24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360/36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480/48</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600/60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720/72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840/84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960/96</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DSLAM (</w:t>
            </w:r>
            <w:proofErr w:type="spellStart"/>
            <w:r w:rsidRPr="00CD3817">
              <w:rPr>
                <w:rFonts w:ascii="Times New Roman" w:eastAsia="Times New Roman" w:hAnsi="Times New Roman" w:cs="Times New Roman"/>
                <w:sz w:val="28"/>
                <w:szCs w:val="28"/>
              </w:rPr>
              <w:t>Paradyne</w:t>
            </w:r>
            <w:proofErr w:type="spellEnd"/>
            <w:r w:rsidRPr="00CD3817">
              <w:rPr>
                <w:rFonts w:ascii="Times New Roman" w:eastAsia="Times New Roman" w:hAnsi="Times New Roman" w:cs="Times New Roman"/>
                <w:sz w:val="28"/>
                <w:szCs w:val="28"/>
              </w:rPr>
              <w:t>), долл.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13572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13572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18096</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долл. за порт, DSLAM (</w:t>
            </w:r>
            <w:proofErr w:type="spellStart"/>
            <w:r w:rsidRPr="00CD3817">
              <w:rPr>
                <w:rFonts w:ascii="Times New Roman" w:eastAsia="Times New Roman" w:hAnsi="Times New Roman" w:cs="Times New Roman"/>
                <w:sz w:val="28"/>
                <w:szCs w:val="28"/>
              </w:rPr>
              <w:t>Paradyne</w:t>
            </w:r>
            <w:proofErr w:type="spellEnd"/>
            <w:r w:rsidRPr="00CD3817">
              <w:rPr>
                <w:rFonts w:ascii="Times New Roman" w:eastAsia="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189</w:t>
            </w:r>
          </w:p>
        </w:tc>
      </w:tr>
    </w:tbl>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p>
    <w:tbl>
      <w:tblPr>
        <w:tblW w:w="4950" w:type="pct"/>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565"/>
        <w:gridCol w:w="789"/>
        <w:gridCol w:w="789"/>
        <w:gridCol w:w="868"/>
        <w:gridCol w:w="868"/>
        <w:gridCol w:w="868"/>
        <w:gridCol w:w="868"/>
        <w:gridCol w:w="868"/>
        <w:gridCol w:w="868"/>
      </w:tblGrid>
      <w:tr w:rsidR="00CD3817" w:rsidRPr="00CD3817" w:rsidTr="00A645AA">
        <w:trPr>
          <w:jc w:val="center"/>
        </w:trPr>
        <w:tc>
          <w:tcPr>
            <w:tcW w:w="140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Количество </w:t>
            </w:r>
            <w:proofErr w:type="spellStart"/>
            <w:r w:rsidRPr="00CD3817">
              <w:rPr>
                <w:rFonts w:ascii="Times New Roman" w:eastAsia="Times New Roman" w:hAnsi="Times New Roman" w:cs="Times New Roman"/>
                <w:sz w:val="28"/>
                <w:szCs w:val="28"/>
              </w:rPr>
              <w:t>аб</w:t>
            </w:r>
            <w:proofErr w:type="spellEnd"/>
            <w:r w:rsidRPr="00CD3817">
              <w:rPr>
                <w:rFonts w:ascii="Times New Roman" w:eastAsia="Times New Roman" w:hAnsi="Times New Roman" w:cs="Times New Roman"/>
                <w:sz w:val="28"/>
                <w:szCs w:val="28"/>
              </w:rPr>
              <w:t>. линий /ADSL-линий</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40/4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80/8</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120/12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160/16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200/20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240/24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280/28</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320/32</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Модули для DLC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 долл.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1390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2640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4650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5280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5910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6540</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долл. за порт, DLC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188</w:t>
            </w:r>
          </w:p>
        </w:tc>
      </w:tr>
    </w:tbl>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p>
    <w:tbl>
      <w:tblPr>
        <w:tblW w:w="4950" w:type="pct"/>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407"/>
        <w:gridCol w:w="868"/>
        <w:gridCol w:w="868"/>
        <w:gridCol w:w="868"/>
        <w:gridCol w:w="868"/>
        <w:gridCol w:w="868"/>
        <w:gridCol w:w="868"/>
        <w:gridCol w:w="868"/>
        <w:gridCol w:w="868"/>
      </w:tblGrid>
      <w:tr w:rsidR="00CD3817" w:rsidRPr="00CD3817" w:rsidTr="00A645AA">
        <w:trPr>
          <w:jc w:val="center"/>
        </w:trPr>
        <w:tc>
          <w:tcPr>
            <w:tcW w:w="140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Количество </w:t>
            </w:r>
            <w:proofErr w:type="spellStart"/>
            <w:r w:rsidRPr="00CD3817">
              <w:rPr>
                <w:rFonts w:ascii="Times New Roman" w:eastAsia="Times New Roman" w:hAnsi="Times New Roman" w:cs="Times New Roman"/>
                <w:sz w:val="28"/>
                <w:szCs w:val="28"/>
              </w:rPr>
              <w:t>аб</w:t>
            </w:r>
            <w:proofErr w:type="spellEnd"/>
            <w:r w:rsidRPr="00CD3817">
              <w:rPr>
                <w:rFonts w:ascii="Times New Roman" w:eastAsia="Times New Roman" w:hAnsi="Times New Roman" w:cs="Times New Roman"/>
                <w:sz w:val="28"/>
                <w:szCs w:val="28"/>
              </w:rPr>
              <w:t xml:space="preserve">. </w:t>
            </w:r>
            <w:r w:rsidRPr="00CD3817">
              <w:rPr>
                <w:rFonts w:ascii="Times New Roman" w:eastAsia="Times New Roman" w:hAnsi="Times New Roman" w:cs="Times New Roman"/>
                <w:sz w:val="28"/>
                <w:szCs w:val="28"/>
              </w:rPr>
              <w:lastRenderedPageBreak/>
              <w:t>линий /ADSL-линий</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360/36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400/40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440/44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480/48</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520/52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560/56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600/60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640/64</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Модули для DLC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 долл.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7920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8590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9810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11190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11820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12450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13080</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долл. за порт, DLC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188</w:t>
            </w:r>
          </w:p>
        </w:tc>
      </w:tr>
    </w:tbl>
    <w:p w:rsidR="00CD3817" w:rsidRPr="00CD3817" w:rsidRDefault="00CD3817" w:rsidP="00CD3817">
      <w:pPr>
        <w:numPr>
          <w:ilvl w:val="0"/>
          <w:numId w:val="1"/>
        </w:numPr>
        <w:overflowPunct w:val="0"/>
        <w:autoSpaceDE w:val="0"/>
        <w:autoSpaceDN w:val="0"/>
        <w:adjustRightInd w:val="0"/>
        <w:spacing w:before="15" w:after="15" w:line="360" w:lineRule="auto"/>
        <w:contextualSpacing/>
        <w:jc w:val="both"/>
        <w:textAlignment w:val="baseline"/>
        <w:rPr>
          <w:rFonts w:ascii="Times New Roman" w:eastAsia="Times New Roman" w:hAnsi="Times New Roman" w:cs="Times New Roman"/>
          <w:sz w:val="28"/>
          <w:szCs w:val="28"/>
        </w:rPr>
      </w:pPr>
    </w:p>
    <w:tbl>
      <w:tblPr>
        <w:tblW w:w="4950" w:type="pct"/>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407"/>
        <w:gridCol w:w="868"/>
        <w:gridCol w:w="868"/>
        <w:gridCol w:w="868"/>
        <w:gridCol w:w="868"/>
        <w:gridCol w:w="868"/>
        <w:gridCol w:w="868"/>
        <w:gridCol w:w="868"/>
        <w:gridCol w:w="868"/>
      </w:tblGrid>
      <w:tr w:rsidR="00CD3817" w:rsidRPr="00CD3817" w:rsidTr="00A645AA">
        <w:trPr>
          <w:jc w:val="center"/>
        </w:trPr>
        <w:tc>
          <w:tcPr>
            <w:tcW w:w="140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Количество </w:t>
            </w:r>
            <w:proofErr w:type="spellStart"/>
            <w:r w:rsidRPr="00CD3817">
              <w:rPr>
                <w:rFonts w:ascii="Times New Roman" w:eastAsia="Times New Roman" w:hAnsi="Times New Roman" w:cs="Times New Roman"/>
                <w:sz w:val="28"/>
                <w:szCs w:val="28"/>
              </w:rPr>
              <w:t>аб</w:t>
            </w:r>
            <w:proofErr w:type="spellEnd"/>
            <w:r w:rsidRPr="00CD3817">
              <w:rPr>
                <w:rFonts w:ascii="Times New Roman" w:eastAsia="Times New Roman" w:hAnsi="Times New Roman" w:cs="Times New Roman"/>
                <w:sz w:val="28"/>
                <w:szCs w:val="28"/>
              </w:rPr>
              <w:t>. линий /ADSL-линий</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680/68</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720/72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760/76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800/80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840/84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880/88</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920/92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960/96</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Модули для DLC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 долл.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14460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15090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15720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16350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17730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18360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18990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19620</w:t>
            </w:r>
          </w:p>
        </w:tc>
      </w:tr>
      <w:tr w:rsidR="00CD3817" w:rsidRPr="00CD3817" w:rsidTr="00A645A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долл. за порт, DLC (</w:t>
            </w:r>
            <w:proofErr w:type="spellStart"/>
            <w:r w:rsidRPr="00CD3817">
              <w:rPr>
                <w:rFonts w:ascii="Times New Roman" w:eastAsia="Times New Roman" w:hAnsi="Times New Roman" w:cs="Times New Roman"/>
                <w:sz w:val="28"/>
                <w:szCs w:val="28"/>
              </w:rPr>
              <w:t>Hitron</w:t>
            </w:r>
            <w:proofErr w:type="spellEnd"/>
            <w:r w:rsidRPr="00CD3817">
              <w:rPr>
                <w:rFonts w:ascii="Times New Roman" w:eastAsia="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198</w:t>
            </w:r>
          </w:p>
        </w:tc>
      </w:tr>
    </w:tbl>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На рис. 11 представлен график, иллюстрирующий затраты оператора на предоставление ADSL-услуг при использовании данных двух схем подключения к IP-коммутатору.</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Как следует из графиков затрат, абонентские концентраторы нового поколения NG-DLC не в чем не уступают стандартным решениям на базе RSU, а при использовании всех своих функциональных возможностей во многом превосходят их. Кроме того, именно DLC отвечает требованиям операторов, предпочитающих «платить по мере роста».</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Благодаря гибкости конфигурации абонентские концентраторы последнего поколения, к которым относится и НТС-1100Е, являются универсальным решением широкого ряда операторских задач, будь то замена устаревших районных АТС или строительство новых узлов связи для телефонизации отдельных районов. При этом кроме </w:t>
      </w:r>
      <w:r w:rsidRPr="00CD3817">
        <w:rPr>
          <w:rFonts w:ascii="Times New Roman" w:eastAsia="Times New Roman" w:hAnsi="Times New Roman" w:cs="Times New Roman"/>
          <w:sz w:val="28"/>
          <w:szCs w:val="28"/>
        </w:rPr>
        <w:lastRenderedPageBreak/>
        <w:t>голосовых услуг, оператор может предложить абонентам и услуги широкополосного доступа.</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36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К потенциальным потребителям этих услуг можно отнести как частных пользователей, так и предприятия малого бизнеса. Во всем мире наблюдается рост популярности, с одной стороны, «домашних» широкополосных приложений — удаленной работы из дома, интерактивных игр, доступа к ауди</w:t>
      </w:r>
      <w:proofErr w:type="gramStart"/>
      <w:r w:rsidRPr="00CD3817">
        <w:rPr>
          <w:rFonts w:ascii="Times New Roman" w:eastAsia="Times New Roman" w:hAnsi="Times New Roman" w:cs="Times New Roman"/>
          <w:sz w:val="28"/>
          <w:szCs w:val="28"/>
        </w:rPr>
        <w:t>о-</w:t>
      </w:r>
      <w:proofErr w:type="gramEnd"/>
      <w:r w:rsidRPr="00CD3817">
        <w:rPr>
          <w:rFonts w:ascii="Times New Roman" w:eastAsia="Times New Roman" w:hAnsi="Times New Roman" w:cs="Times New Roman"/>
          <w:sz w:val="28"/>
          <w:szCs w:val="28"/>
        </w:rPr>
        <w:t xml:space="preserve"> и </w:t>
      </w:r>
      <w:proofErr w:type="spellStart"/>
      <w:r w:rsidRPr="00CD3817">
        <w:rPr>
          <w:rFonts w:ascii="Times New Roman" w:eastAsia="Times New Roman" w:hAnsi="Times New Roman" w:cs="Times New Roman"/>
          <w:sz w:val="28"/>
          <w:szCs w:val="28"/>
        </w:rPr>
        <w:t>видеоресурсам</w:t>
      </w:r>
      <w:proofErr w:type="spellEnd"/>
      <w:r w:rsidRPr="00CD3817">
        <w:rPr>
          <w:rFonts w:ascii="Times New Roman" w:eastAsia="Times New Roman" w:hAnsi="Times New Roman" w:cs="Times New Roman"/>
          <w:sz w:val="28"/>
          <w:szCs w:val="28"/>
        </w:rPr>
        <w:t>, а с другой — бизнес-приложений, таких как создание VPN, видеоконференции, IP-телефония.</w:t>
      </w:r>
    </w:p>
    <w:p w:rsidR="00CD3817" w:rsidRPr="00CD3817" w:rsidRDefault="00CD3817" w:rsidP="00CD3817">
      <w:pPr>
        <w:numPr>
          <w:ilvl w:val="0"/>
          <w:numId w:val="1"/>
        </w:numPr>
        <w:overflowPunct w:val="0"/>
        <w:autoSpaceDE w:val="0"/>
        <w:autoSpaceDN w:val="0"/>
        <w:adjustRightInd w:val="0"/>
        <w:spacing w:before="15" w:after="15" w:line="24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noProof/>
          <w:sz w:val="28"/>
          <w:szCs w:val="28"/>
        </w:rPr>
        <w:drawing>
          <wp:inline distT="0" distB="0" distL="0" distR="0" wp14:anchorId="7EABE450" wp14:editId="2362D23E">
            <wp:extent cx="5334000" cy="3076575"/>
            <wp:effectExtent l="19050" t="0" r="0" b="0"/>
            <wp:docPr id="9" name="Рисунок 9" descr="Затраты на предоставление ADSL-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Затраты на предоставление ADSL-услуг"/>
                    <pic:cNvPicPr>
                      <a:picLocks noChangeAspect="1" noChangeArrowheads="1"/>
                    </pic:cNvPicPr>
                  </pic:nvPicPr>
                  <pic:blipFill>
                    <a:blip r:embed="rId15"/>
                    <a:srcRect/>
                    <a:stretch>
                      <a:fillRect/>
                    </a:stretch>
                  </pic:blipFill>
                  <pic:spPr bwMode="auto">
                    <a:xfrm>
                      <a:off x="0" y="0"/>
                      <a:ext cx="5334000" cy="3076575"/>
                    </a:xfrm>
                    <a:prstGeom prst="rect">
                      <a:avLst/>
                    </a:prstGeom>
                    <a:noFill/>
                    <a:ln w="9525">
                      <a:noFill/>
                      <a:miter lim="800000"/>
                      <a:headEnd/>
                      <a:tailEnd/>
                    </a:ln>
                  </pic:spPr>
                </pic:pic>
              </a:graphicData>
            </a:graphic>
          </wp:inline>
        </w:drawing>
      </w:r>
      <w:r w:rsidRPr="00CD3817">
        <w:rPr>
          <w:rFonts w:ascii="Times New Roman" w:eastAsia="Times New Roman" w:hAnsi="Times New Roman" w:cs="Times New Roman"/>
          <w:sz w:val="28"/>
          <w:szCs w:val="28"/>
        </w:rPr>
        <w:br/>
      </w:r>
      <w:r w:rsidRPr="00CD3817">
        <w:rPr>
          <w:rFonts w:ascii="Times New Roman" w:eastAsia="Times New Roman" w:hAnsi="Times New Roman" w:cs="Times New Roman"/>
          <w:i/>
          <w:iCs/>
          <w:sz w:val="28"/>
          <w:szCs w:val="28"/>
        </w:rPr>
        <w:t>Рис. 12. Затраты на предоставление ADSL-услуг</w:t>
      </w:r>
      <w:r w:rsidRPr="00CD3817">
        <w:rPr>
          <w:rFonts w:ascii="Times New Roman" w:eastAsia="Times New Roman" w:hAnsi="Times New Roman" w:cs="Times New Roman"/>
          <w:sz w:val="28"/>
          <w:szCs w:val="28"/>
        </w:rPr>
        <w:t xml:space="preserve"> </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24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В России проникновение подобных услуг «в массы» только начинается, и ро</w:t>
      </w:r>
      <w:proofErr w:type="gramStart"/>
      <w:r w:rsidRPr="00CD3817">
        <w:rPr>
          <w:rFonts w:ascii="Times New Roman" w:eastAsia="Times New Roman" w:hAnsi="Times New Roman" w:cs="Times New Roman"/>
          <w:sz w:val="28"/>
          <w:szCs w:val="28"/>
        </w:rPr>
        <w:t>ст спр</w:t>
      </w:r>
      <w:proofErr w:type="gramEnd"/>
      <w:r w:rsidRPr="00CD3817">
        <w:rPr>
          <w:rFonts w:ascii="Times New Roman" w:eastAsia="Times New Roman" w:hAnsi="Times New Roman" w:cs="Times New Roman"/>
          <w:sz w:val="28"/>
          <w:szCs w:val="28"/>
        </w:rPr>
        <w:t>оса на них неизбежен, особенно при некоторых усилиях со стороны оператора (реклама новых возможностей, обеспечение доступности широкополосного сервиса, своевременное предложение выгодных пакетов услуг). Оператор, сети доступа которого построены на оборудовании NG DLC, при внедрении новых услуг получает значительное преимущество на обслуживаемой территории по сравнению с оператором, которому нужно создавать сеть широкополосного доступа «с нуля». Именно поэтому использование NGDLC наиболее актуально для районов с небольшим платежеспособным спросом (позволяя, тем не менее, легко наращивать объем в будущем).</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24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Преимущества применения абонентских концентраторов особенно оценят небольшие операторы. Для них установка нескольких телефонных коммутаторов (RSU) в удаленных районах означает отказ </w:t>
      </w:r>
      <w:r w:rsidRPr="00CD3817">
        <w:rPr>
          <w:rFonts w:ascii="Times New Roman" w:eastAsia="Times New Roman" w:hAnsi="Times New Roman" w:cs="Times New Roman"/>
          <w:sz w:val="28"/>
          <w:szCs w:val="28"/>
        </w:rPr>
        <w:lastRenderedPageBreak/>
        <w:t xml:space="preserve">от модернизации сети в сторону </w:t>
      </w:r>
      <w:proofErr w:type="spellStart"/>
      <w:r w:rsidRPr="00CD3817">
        <w:rPr>
          <w:rFonts w:ascii="Times New Roman" w:eastAsia="Times New Roman" w:hAnsi="Times New Roman" w:cs="Times New Roman"/>
          <w:sz w:val="28"/>
          <w:szCs w:val="28"/>
        </w:rPr>
        <w:t>мультисервисности</w:t>
      </w:r>
      <w:proofErr w:type="spellEnd"/>
      <w:r w:rsidRPr="00CD3817">
        <w:rPr>
          <w:rFonts w:ascii="Times New Roman" w:eastAsia="Times New Roman" w:hAnsi="Times New Roman" w:cs="Times New Roman"/>
          <w:sz w:val="28"/>
          <w:szCs w:val="28"/>
        </w:rPr>
        <w:t>, поскольку все имеющиеся средства будут уже вложены в телефонный сервис. А услуги телефонии, хотя и продолжают приносить основную часть дохода оператору, по темпам роста спроса на них со стороны абонентов значительно уступают услугам передачи данных и мультимедийного трафика.</w:t>
      </w:r>
    </w:p>
    <w:p w:rsidR="00CD3817" w:rsidRPr="00CD3817" w:rsidRDefault="00CD3817" w:rsidP="00CD3817">
      <w:pPr>
        <w:numPr>
          <w:ilvl w:val="0"/>
          <w:numId w:val="1"/>
        </w:numPr>
        <w:overflowPunct w:val="0"/>
        <w:autoSpaceDE w:val="0"/>
        <w:autoSpaceDN w:val="0"/>
        <w:adjustRightInd w:val="0"/>
        <w:spacing w:before="100" w:beforeAutospacing="1" w:after="100" w:afterAutospacing="1" w:line="240" w:lineRule="auto"/>
        <w:contextualSpacing/>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Устанавливая же абонентский вынос, оператор может на начальном этапе обеспечить предоставление минимального набора услуг, затратив минимум средств, а по мере окупаемости проекта плавно наращивать емкость локальных узлов и количество предоставляемых услуг.</w:t>
      </w:r>
    </w:p>
    <w:p w:rsidR="00CD3817" w:rsidRPr="00CD3817" w:rsidRDefault="00CD3817" w:rsidP="00CD3817">
      <w:pPr>
        <w:keepNext/>
        <w:keepLines/>
        <w:overflowPunct w:val="0"/>
        <w:autoSpaceDE w:val="0"/>
        <w:autoSpaceDN w:val="0"/>
        <w:adjustRightInd w:val="0"/>
        <w:spacing w:before="480" w:after="0" w:line="240" w:lineRule="auto"/>
        <w:textAlignment w:val="baseline"/>
        <w:outlineLvl w:val="0"/>
        <w:rPr>
          <w:rFonts w:ascii="Arial" w:eastAsiaTheme="majorEastAsia" w:hAnsi="Arial" w:cs="Arial"/>
          <w:b/>
          <w:bCs/>
          <w:color w:val="333333"/>
          <w:sz w:val="28"/>
          <w:szCs w:val="28"/>
        </w:rPr>
      </w:pPr>
      <w:r w:rsidRPr="00CD3817">
        <w:rPr>
          <w:rFonts w:ascii="Arial" w:eastAsiaTheme="majorEastAsia" w:hAnsi="Arial" w:cs="Arial"/>
          <w:b/>
          <w:bCs/>
          <w:color w:val="333333"/>
          <w:sz w:val="28"/>
          <w:szCs w:val="28"/>
        </w:rPr>
        <w:t>3.7 .</w:t>
      </w:r>
      <w:proofErr w:type="spellStart"/>
      <w:r w:rsidRPr="00CD3817">
        <w:rPr>
          <w:rFonts w:ascii="Arial" w:eastAsiaTheme="majorEastAsia" w:hAnsi="Arial" w:cs="Arial"/>
          <w:b/>
          <w:bCs/>
          <w:color w:val="333333"/>
          <w:sz w:val="28"/>
          <w:szCs w:val="28"/>
        </w:rPr>
        <w:t>Мультисервисный</w:t>
      </w:r>
      <w:proofErr w:type="spellEnd"/>
      <w:r w:rsidRPr="00CD3817">
        <w:rPr>
          <w:rFonts w:ascii="Arial" w:eastAsiaTheme="majorEastAsia" w:hAnsi="Arial" w:cs="Arial"/>
          <w:b/>
          <w:bCs/>
          <w:color w:val="333333"/>
          <w:sz w:val="28"/>
          <w:szCs w:val="28"/>
        </w:rPr>
        <w:t xml:space="preserve"> абонентский вынос HTC-1100E\</w:t>
      </w:r>
    </w:p>
    <w:p w:rsidR="00CD3817" w:rsidRPr="00CD3817" w:rsidRDefault="00CD3817" w:rsidP="00CD381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CD3817" w:rsidRPr="00CD3817" w:rsidRDefault="00CD3817" w:rsidP="00CD381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CD3817" w:rsidRPr="00CD3817" w:rsidRDefault="00CD3817" w:rsidP="00CD381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59"/>
        <w:gridCol w:w="4086"/>
      </w:tblGrid>
      <w:tr w:rsidR="00CD3817" w:rsidRPr="00CD3817" w:rsidTr="00A645AA">
        <w:trPr>
          <w:tblCellSpacing w:w="15" w:type="dxa"/>
        </w:trPr>
        <w:tc>
          <w:tcPr>
            <w:tcW w:w="0" w:type="auto"/>
            <w:vMerge w:val="restart"/>
            <w:vAlign w:val="center"/>
            <w:hideMark/>
          </w:tcPr>
          <w:p w:rsidR="00CD3817" w:rsidRPr="00CD3817" w:rsidRDefault="00CD3817" w:rsidP="00CD3817">
            <w:pPr>
              <w:overflowPunct w:val="0"/>
              <w:autoSpaceDE w:val="0"/>
              <w:autoSpaceDN w:val="0"/>
              <w:adjustRightInd w:val="0"/>
              <w:spacing w:after="0" w:line="240" w:lineRule="auto"/>
              <w:textAlignment w:val="baseline"/>
              <w:rPr>
                <w:rFonts w:ascii="Arial" w:eastAsia="Times New Roman" w:hAnsi="Arial" w:cs="Arial"/>
                <w:color w:val="333333"/>
                <w:sz w:val="18"/>
                <w:szCs w:val="18"/>
              </w:rPr>
            </w:pPr>
            <w:r w:rsidRPr="00CD3817">
              <w:rPr>
                <w:rFonts w:ascii="Arial" w:eastAsia="Times New Roman" w:hAnsi="Arial" w:cs="Arial"/>
                <w:noProof/>
                <w:color w:val="333333"/>
                <w:sz w:val="18"/>
                <w:szCs w:val="18"/>
              </w:rPr>
              <w:drawing>
                <wp:inline distT="0" distB="0" distL="0" distR="0" wp14:anchorId="43239459" wp14:editId="46FEE3B0">
                  <wp:extent cx="3143250" cy="2181225"/>
                  <wp:effectExtent l="19050" t="0" r="0" b="0"/>
                  <wp:docPr id="10" name="Рисунок 1" descr="Абонентского уплотнения R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онентского уплотнения RPG"/>
                          <pic:cNvPicPr>
                            <a:picLocks noChangeAspect="1" noChangeArrowheads="1"/>
                          </pic:cNvPicPr>
                        </pic:nvPicPr>
                        <pic:blipFill>
                          <a:blip r:embed="rId16"/>
                          <a:srcRect/>
                          <a:stretch>
                            <a:fillRect/>
                          </a:stretch>
                        </pic:blipFill>
                        <pic:spPr bwMode="auto">
                          <a:xfrm>
                            <a:off x="0" y="0"/>
                            <a:ext cx="3143250" cy="2181225"/>
                          </a:xfrm>
                          <a:prstGeom prst="rect">
                            <a:avLst/>
                          </a:prstGeom>
                          <a:noFill/>
                          <a:ln w="9525">
                            <a:noFill/>
                            <a:miter lim="800000"/>
                            <a:headEnd/>
                            <a:tailEnd/>
                          </a:ln>
                        </pic:spPr>
                      </pic:pic>
                    </a:graphicData>
                  </a:graphic>
                </wp:inline>
              </w:drawing>
            </w:r>
          </w:p>
        </w:tc>
        <w:tc>
          <w:tcPr>
            <w:tcW w:w="0" w:type="auto"/>
            <w:vAlign w:val="center"/>
            <w:hideMark/>
          </w:tcPr>
          <w:p w:rsidR="00CD3817" w:rsidRPr="00CD3817" w:rsidRDefault="00CD3817" w:rsidP="00CD3817">
            <w:pPr>
              <w:overflowPunct w:val="0"/>
              <w:autoSpaceDE w:val="0"/>
              <w:autoSpaceDN w:val="0"/>
              <w:adjustRightInd w:val="0"/>
              <w:spacing w:after="0" w:line="240" w:lineRule="auto"/>
              <w:textAlignment w:val="baseline"/>
              <w:rPr>
                <w:rFonts w:ascii="Arial" w:eastAsia="Times New Roman" w:hAnsi="Arial" w:cs="Arial"/>
                <w:color w:val="333333"/>
                <w:sz w:val="18"/>
                <w:szCs w:val="18"/>
              </w:rPr>
            </w:pPr>
            <w:hyperlink r:id="rId17" w:history="1">
              <w:r w:rsidRPr="00CD3817">
                <w:rPr>
                  <w:rFonts w:ascii="Arial" w:eastAsia="Times New Roman" w:hAnsi="Arial" w:cs="Arial"/>
                  <w:noProof/>
                  <w:color w:val="333333"/>
                  <w:sz w:val="18"/>
                  <w:szCs w:val="18"/>
                </w:rPr>
                <w:drawing>
                  <wp:anchor distT="0" distB="0" distL="0" distR="0" simplePos="0" relativeHeight="251659264" behindDoc="0" locked="0" layoutInCell="1" allowOverlap="0" wp14:anchorId="3B71AA1C" wp14:editId="1297BF7A">
                    <wp:simplePos x="0" y="0"/>
                    <wp:positionH relativeFrom="column">
                      <wp:align>right</wp:align>
                    </wp:positionH>
                    <wp:positionV relativeFrom="line">
                      <wp:posOffset>0</wp:posOffset>
                    </wp:positionV>
                    <wp:extent cx="1676400" cy="581025"/>
                    <wp:effectExtent l="19050" t="0" r="0" b="0"/>
                    <wp:wrapSquare wrapText="bothSides"/>
                    <wp:docPr id="11" name="Рисунок 2" descr="Hitr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tron">
                              <a:hlinkClick r:id="rId17"/>
                            </pic:cNvPr>
                            <pic:cNvPicPr>
                              <a:picLocks noChangeAspect="1" noChangeArrowheads="1"/>
                            </pic:cNvPicPr>
                          </pic:nvPicPr>
                          <pic:blipFill>
                            <a:blip r:embed="rId18"/>
                            <a:srcRect/>
                            <a:stretch>
                              <a:fillRect/>
                            </a:stretch>
                          </pic:blipFill>
                          <pic:spPr bwMode="auto">
                            <a:xfrm>
                              <a:off x="0" y="0"/>
                              <a:ext cx="1676400" cy="581025"/>
                            </a:xfrm>
                            <a:prstGeom prst="rect">
                              <a:avLst/>
                            </a:prstGeom>
                            <a:noFill/>
                            <a:ln w="9525">
                              <a:noFill/>
                              <a:miter lim="800000"/>
                              <a:headEnd/>
                              <a:tailEnd/>
                            </a:ln>
                          </pic:spPr>
                        </pic:pic>
                      </a:graphicData>
                    </a:graphic>
                  </wp:anchor>
                </w:drawing>
              </w:r>
            </w:hyperlink>
          </w:p>
        </w:tc>
      </w:tr>
      <w:tr w:rsidR="00CD3817" w:rsidRPr="00CD3817" w:rsidTr="00A645AA">
        <w:trPr>
          <w:tblCellSpacing w:w="15" w:type="dxa"/>
        </w:trPr>
        <w:tc>
          <w:tcPr>
            <w:tcW w:w="0" w:type="auto"/>
            <w:vMerge/>
            <w:vAlign w:val="center"/>
            <w:hideMark/>
          </w:tcPr>
          <w:p w:rsidR="00CD3817" w:rsidRPr="00CD3817" w:rsidRDefault="00CD3817" w:rsidP="00CD3817">
            <w:pPr>
              <w:overflowPunct w:val="0"/>
              <w:autoSpaceDE w:val="0"/>
              <w:autoSpaceDN w:val="0"/>
              <w:adjustRightInd w:val="0"/>
              <w:spacing w:after="0" w:line="240" w:lineRule="auto"/>
              <w:textAlignment w:val="baseline"/>
              <w:rPr>
                <w:rFonts w:ascii="Arial" w:eastAsia="Times New Roman" w:hAnsi="Arial" w:cs="Arial"/>
                <w:color w:val="333333"/>
                <w:sz w:val="18"/>
                <w:szCs w:val="18"/>
              </w:rPr>
            </w:pPr>
          </w:p>
        </w:tc>
        <w:tc>
          <w:tcPr>
            <w:tcW w:w="0" w:type="auto"/>
            <w:vAlign w:val="center"/>
            <w:hideMark/>
          </w:tcPr>
          <w:p w:rsidR="00CD3817" w:rsidRPr="00CD3817" w:rsidRDefault="00CD3817" w:rsidP="00CD3817">
            <w:pPr>
              <w:overflowPunct w:val="0"/>
              <w:autoSpaceDE w:val="0"/>
              <w:autoSpaceDN w:val="0"/>
              <w:adjustRightInd w:val="0"/>
              <w:spacing w:after="0" w:line="240" w:lineRule="auto"/>
              <w:jc w:val="center"/>
              <w:textAlignment w:val="baseline"/>
              <w:rPr>
                <w:rFonts w:ascii="Arial" w:eastAsia="Times New Roman" w:hAnsi="Arial" w:cs="Arial"/>
                <w:color w:val="333333"/>
                <w:sz w:val="18"/>
                <w:szCs w:val="18"/>
              </w:rPr>
            </w:pPr>
            <w:r w:rsidRPr="00CD3817">
              <w:rPr>
                <w:rFonts w:ascii="Arial" w:eastAsia="Times New Roman" w:hAnsi="Arial" w:cs="Arial"/>
                <w:noProof/>
                <w:color w:val="333333"/>
                <w:sz w:val="18"/>
                <w:szCs w:val="18"/>
              </w:rPr>
              <w:drawing>
                <wp:inline distT="0" distB="0" distL="0" distR="0" wp14:anchorId="629973D9" wp14:editId="33FE4571">
                  <wp:extent cx="2381250" cy="1304925"/>
                  <wp:effectExtent l="19050" t="0" r="0" b="0"/>
                  <wp:docPr id="12" name="Рисунок 2" descr="Концентратор HTC-11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центратор HTC-1100E"/>
                          <pic:cNvPicPr>
                            <a:picLocks noChangeAspect="1" noChangeArrowheads="1"/>
                          </pic:cNvPicPr>
                        </pic:nvPicPr>
                        <pic:blipFill>
                          <a:blip r:embed="rId19"/>
                          <a:srcRect/>
                          <a:stretch>
                            <a:fillRect/>
                          </a:stretch>
                        </pic:blipFill>
                        <pic:spPr bwMode="auto">
                          <a:xfrm>
                            <a:off x="0" y="0"/>
                            <a:ext cx="2381250" cy="1304925"/>
                          </a:xfrm>
                          <a:prstGeom prst="rect">
                            <a:avLst/>
                          </a:prstGeom>
                          <a:noFill/>
                          <a:ln w="9525">
                            <a:noFill/>
                            <a:miter lim="800000"/>
                            <a:headEnd/>
                            <a:tailEnd/>
                          </a:ln>
                        </pic:spPr>
                      </pic:pic>
                    </a:graphicData>
                  </a:graphic>
                </wp:inline>
              </w:drawing>
            </w:r>
          </w:p>
        </w:tc>
      </w:tr>
    </w:tbl>
    <w:p w:rsidR="00CD3817" w:rsidRPr="00CD3817" w:rsidRDefault="00CD3817" w:rsidP="00CD3817">
      <w:pPr>
        <w:spacing w:before="100" w:beforeAutospacing="1" w:after="100" w:afterAutospacing="1" w:line="360" w:lineRule="auto"/>
        <w:ind w:firstLine="300"/>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Оборудование </w:t>
      </w:r>
      <w:r w:rsidRPr="00CD3817">
        <w:rPr>
          <w:rFonts w:ascii="Times New Roman" w:eastAsiaTheme="majorEastAsia" w:hAnsi="Times New Roman" w:cs="Times New Roman"/>
          <w:b/>
          <w:bCs/>
          <w:color w:val="333333"/>
          <w:sz w:val="28"/>
          <w:szCs w:val="28"/>
        </w:rPr>
        <w:t>НТС-1100Е</w:t>
      </w:r>
      <w:r w:rsidRPr="00CD3817">
        <w:rPr>
          <w:rFonts w:ascii="Times New Roman" w:eastAsia="Times New Roman" w:hAnsi="Times New Roman" w:cs="Times New Roman"/>
          <w:color w:val="333333"/>
          <w:sz w:val="28"/>
          <w:szCs w:val="28"/>
        </w:rPr>
        <w:t xml:space="preserve"> позволяет предоставить удаленным группам абонентов полный набор телекоммуникационных услуг на основе существующих сетей и обеспечить основу будущего развития сети доступа в сторону миграции к пакетным сетям. По функциональным характеристикам концентратор НТС-1100Е не уступает аналогичному оборудованию ведущих мировых производителей - </w:t>
      </w:r>
      <w:proofErr w:type="spellStart"/>
      <w:r w:rsidRPr="00CD3817">
        <w:rPr>
          <w:rFonts w:ascii="Times New Roman" w:eastAsia="Times New Roman" w:hAnsi="Times New Roman" w:cs="Times New Roman"/>
          <w:color w:val="333333"/>
          <w:sz w:val="28"/>
          <w:szCs w:val="28"/>
        </w:rPr>
        <w:t>Alcatel</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KeyMile</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Hytas</w:t>
      </w:r>
      <w:proofErr w:type="spellEnd"/>
      <w:r w:rsidRPr="00CD3817">
        <w:rPr>
          <w:rFonts w:ascii="Times New Roman" w:eastAsia="Times New Roman" w:hAnsi="Times New Roman" w:cs="Times New Roman"/>
          <w:color w:val="333333"/>
          <w:sz w:val="28"/>
          <w:szCs w:val="28"/>
        </w:rPr>
        <w:t>. Преимуществами НТС-1100Е являются совместимость с любыми АТС-коммутаторами, расширенные сервисные возможности и доступность цены.</w:t>
      </w:r>
    </w:p>
    <w:p w:rsidR="00CD3817" w:rsidRPr="00CD3817" w:rsidRDefault="00CD3817" w:rsidP="00CD3817">
      <w:pPr>
        <w:spacing w:before="100" w:beforeAutospacing="1" w:after="100" w:afterAutospacing="1" w:line="360" w:lineRule="auto"/>
        <w:ind w:firstLine="300"/>
        <w:jc w:val="both"/>
        <w:rPr>
          <w:rFonts w:ascii="Times New Roman" w:eastAsia="Times New Roman" w:hAnsi="Times New Roman" w:cs="Times New Roman"/>
          <w:color w:val="333333"/>
          <w:sz w:val="28"/>
          <w:szCs w:val="28"/>
        </w:rPr>
      </w:pPr>
      <w:proofErr w:type="spellStart"/>
      <w:r w:rsidRPr="00CD3817">
        <w:rPr>
          <w:rFonts w:ascii="Times New Roman" w:eastAsia="Times New Roman" w:hAnsi="Times New Roman" w:cs="Times New Roman"/>
          <w:color w:val="333333"/>
          <w:sz w:val="28"/>
          <w:szCs w:val="28"/>
        </w:rPr>
        <w:t>Мультисервисный</w:t>
      </w:r>
      <w:proofErr w:type="spellEnd"/>
      <w:r w:rsidRPr="00CD3817">
        <w:rPr>
          <w:rFonts w:ascii="Times New Roman" w:eastAsia="Times New Roman" w:hAnsi="Times New Roman" w:cs="Times New Roman"/>
          <w:color w:val="333333"/>
          <w:sz w:val="28"/>
          <w:szCs w:val="28"/>
        </w:rPr>
        <w:t xml:space="preserve"> концентратор абонентского доступа HTC-1100E - это универсальный шлюз доступа, предназначенный для предоставления абонентам любых услуг: транзит потоков Е</w:t>
      </w:r>
      <w:proofErr w:type="gramStart"/>
      <w:r w:rsidRPr="00CD3817">
        <w:rPr>
          <w:rFonts w:ascii="Times New Roman" w:eastAsia="Times New Roman" w:hAnsi="Times New Roman" w:cs="Times New Roman"/>
          <w:color w:val="333333"/>
          <w:sz w:val="28"/>
          <w:szCs w:val="28"/>
        </w:rPr>
        <w:t>1</w:t>
      </w:r>
      <w:proofErr w:type="gramEnd"/>
      <w:r w:rsidRPr="00CD3817">
        <w:rPr>
          <w:rFonts w:ascii="Times New Roman" w:eastAsia="Times New Roman" w:hAnsi="Times New Roman" w:cs="Times New Roman"/>
          <w:color w:val="333333"/>
          <w:sz w:val="28"/>
          <w:szCs w:val="28"/>
        </w:rPr>
        <w:t xml:space="preserve">, IP-услуги по Ethernet10BaseT (c поддержкой VLAN), nx64, FXS/FXO, E&amp;M, </w:t>
      </w:r>
      <w:proofErr w:type="spellStart"/>
      <w:r w:rsidRPr="00CD3817">
        <w:rPr>
          <w:rFonts w:ascii="Times New Roman" w:eastAsia="Times New Roman" w:hAnsi="Times New Roman" w:cs="Times New Roman"/>
          <w:color w:val="333333"/>
          <w:sz w:val="28"/>
          <w:szCs w:val="28"/>
        </w:rPr>
        <w:t>Hot</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Line</w:t>
      </w:r>
      <w:proofErr w:type="spellEnd"/>
      <w:r w:rsidRPr="00CD3817">
        <w:rPr>
          <w:rFonts w:ascii="Times New Roman" w:eastAsia="Times New Roman" w:hAnsi="Times New Roman" w:cs="Times New Roman"/>
          <w:color w:val="333333"/>
          <w:sz w:val="28"/>
          <w:szCs w:val="28"/>
        </w:rPr>
        <w:t xml:space="preserve">, ISDN, </w:t>
      </w:r>
      <w:proofErr w:type="spellStart"/>
      <w:r w:rsidRPr="00CD3817">
        <w:rPr>
          <w:rFonts w:ascii="Times New Roman" w:eastAsia="Times New Roman" w:hAnsi="Times New Roman" w:cs="Times New Roman"/>
          <w:color w:val="333333"/>
          <w:sz w:val="28"/>
          <w:szCs w:val="28"/>
        </w:rPr>
        <w:t>xDSL</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VoIP</w:t>
      </w:r>
      <w:proofErr w:type="spellEnd"/>
      <w:r w:rsidRPr="00CD3817">
        <w:rPr>
          <w:rFonts w:ascii="Times New Roman" w:eastAsia="Times New Roman" w:hAnsi="Times New Roman" w:cs="Times New Roman"/>
          <w:color w:val="333333"/>
          <w:sz w:val="28"/>
          <w:szCs w:val="28"/>
        </w:rPr>
        <w:t xml:space="preserve">. </w:t>
      </w:r>
      <w:r w:rsidRPr="00CD3817">
        <w:rPr>
          <w:rFonts w:ascii="Times New Roman" w:eastAsia="Times New Roman" w:hAnsi="Times New Roman" w:cs="Times New Roman"/>
          <w:color w:val="333333"/>
          <w:sz w:val="28"/>
          <w:szCs w:val="28"/>
        </w:rPr>
        <w:lastRenderedPageBreak/>
        <w:t>Кроме того, шлюз доступа обладает функциями мультиплексора вставки-выделения. Используя данное оборудование, можно построить сеть доступа уровня до STM-1 без использования других средств.</w:t>
      </w:r>
    </w:p>
    <w:p w:rsidR="00CD3817" w:rsidRPr="00CD3817" w:rsidRDefault="00CD3817" w:rsidP="00CD3817">
      <w:pPr>
        <w:spacing w:before="100" w:beforeAutospacing="1" w:after="100" w:afterAutospacing="1" w:line="360" w:lineRule="auto"/>
        <w:ind w:firstLine="300"/>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В отличие от систем, ориентированных на интеграцию в сети </w:t>
      </w:r>
      <w:proofErr w:type="gramStart"/>
      <w:r w:rsidRPr="00CD3817">
        <w:rPr>
          <w:rFonts w:ascii="Times New Roman" w:eastAsia="Times New Roman" w:hAnsi="Times New Roman" w:cs="Times New Roman"/>
          <w:color w:val="333333"/>
          <w:sz w:val="28"/>
          <w:szCs w:val="28"/>
        </w:rPr>
        <w:t>АТМ</w:t>
      </w:r>
      <w:proofErr w:type="gramEnd"/>
      <w:r w:rsidRPr="00CD3817">
        <w:rPr>
          <w:rFonts w:ascii="Times New Roman" w:eastAsia="Times New Roman" w:hAnsi="Times New Roman" w:cs="Times New Roman"/>
          <w:color w:val="333333"/>
          <w:sz w:val="28"/>
          <w:szCs w:val="28"/>
        </w:rPr>
        <w:t xml:space="preserve">, НТС-1100Е поддерживает протокол IP и легко интегрируется в </w:t>
      </w:r>
      <w:proofErr w:type="spellStart"/>
      <w:r w:rsidRPr="00CD3817">
        <w:rPr>
          <w:rFonts w:ascii="Times New Roman" w:eastAsia="Times New Roman" w:hAnsi="Times New Roman" w:cs="Times New Roman"/>
          <w:color w:val="333333"/>
          <w:sz w:val="28"/>
          <w:szCs w:val="28"/>
        </w:rPr>
        <w:t>провайдерские</w:t>
      </w:r>
      <w:proofErr w:type="spellEnd"/>
      <w:r w:rsidRPr="00CD3817">
        <w:rPr>
          <w:rFonts w:ascii="Times New Roman" w:eastAsia="Times New Roman" w:hAnsi="Times New Roman" w:cs="Times New Roman"/>
          <w:color w:val="333333"/>
          <w:sz w:val="28"/>
          <w:szCs w:val="28"/>
        </w:rPr>
        <w:t xml:space="preserve"> сети </w:t>
      </w:r>
      <w:proofErr w:type="spellStart"/>
      <w:r w:rsidRPr="00CD3817">
        <w:rPr>
          <w:rFonts w:ascii="Times New Roman" w:eastAsia="Times New Roman" w:hAnsi="Times New Roman" w:cs="Times New Roman"/>
          <w:color w:val="333333"/>
          <w:sz w:val="28"/>
          <w:szCs w:val="28"/>
        </w:rPr>
        <w:t>Ethernet</w:t>
      </w:r>
      <w:proofErr w:type="spellEnd"/>
      <w:r w:rsidRPr="00CD3817">
        <w:rPr>
          <w:rFonts w:ascii="Times New Roman" w:eastAsia="Times New Roman" w:hAnsi="Times New Roman" w:cs="Times New Roman"/>
          <w:color w:val="333333"/>
          <w:sz w:val="28"/>
          <w:szCs w:val="28"/>
        </w:rPr>
        <w:t xml:space="preserve">, что удешевляет и упрощает внедрение дополнительных услуг у обслуживаемой группы абонентов. Благодаря наличию линейных интерфейсов STM-1 и возможностям мультиплексирования потоков PDH, на основе НТС-1100Е можно строить сеть доступа SDH. Специализация компании </w:t>
      </w:r>
      <w:proofErr w:type="spellStart"/>
      <w:r w:rsidRPr="00CD3817">
        <w:rPr>
          <w:rFonts w:ascii="Times New Roman" w:eastAsia="Times New Roman" w:hAnsi="Times New Roman" w:cs="Times New Roman"/>
          <w:color w:val="333333"/>
          <w:sz w:val="28"/>
          <w:szCs w:val="28"/>
        </w:rPr>
        <w:t>Hitron</w:t>
      </w:r>
      <w:proofErr w:type="spellEnd"/>
      <w:r w:rsidRPr="00CD3817">
        <w:rPr>
          <w:rFonts w:ascii="Times New Roman" w:eastAsia="Times New Roman" w:hAnsi="Times New Roman" w:cs="Times New Roman"/>
          <w:color w:val="333333"/>
          <w:sz w:val="28"/>
          <w:szCs w:val="28"/>
        </w:rPr>
        <w:t xml:space="preserve"> на системах абонентского доступа и возможность быстрой адаптации оборудования производителем для специфических задач каждого клиента позволяет обеспечить совместимость системы НТС-1100Е с любыми типами телефонных коммутаторов. На отечественных сетях данное оборудование успешно работает в качестве абонентского выноса коммутаторов </w:t>
      </w:r>
      <w:proofErr w:type="spellStart"/>
      <w:r w:rsidRPr="00CD3817">
        <w:rPr>
          <w:rFonts w:ascii="Times New Roman" w:eastAsia="Times New Roman" w:hAnsi="Times New Roman" w:cs="Times New Roman"/>
          <w:color w:val="333333"/>
          <w:sz w:val="28"/>
          <w:szCs w:val="28"/>
        </w:rPr>
        <w:t>Siemens</w:t>
      </w:r>
      <w:proofErr w:type="spellEnd"/>
      <w:r w:rsidRPr="00CD3817">
        <w:rPr>
          <w:rFonts w:ascii="Times New Roman" w:eastAsia="Times New Roman" w:hAnsi="Times New Roman" w:cs="Times New Roman"/>
          <w:color w:val="333333"/>
          <w:sz w:val="28"/>
          <w:szCs w:val="28"/>
        </w:rPr>
        <w:t xml:space="preserve"> EWSD, </w:t>
      </w:r>
      <w:proofErr w:type="spellStart"/>
      <w:r w:rsidRPr="00CD3817">
        <w:rPr>
          <w:rFonts w:ascii="Times New Roman" w:eastAsia="Times New Roman" w:hAnsi="Times New Roman" w:cs="Times New Roman"/>
          <w:color w:val="333333"/>
          <w:sz w:val="28"/>
          <w:szCs w:val="28"/>
        </w:rPr>
        <w:t>Alcatel</w:t>
      </w:r>
      <w:proofErr w:type="spellEnd"/>
      <w:r w:rsidRPr="00CD3817">
        <w:rPr>
          <w:rFonts w:ascii="Times New Roman" w:eastAsia="Times New Roman" w:hAnsi="Times New Roman" w:cs="Times New Roman"/>
          <w:color w:val="333333"/>
          <w:sz w:val="28"/>
          <w:szCs w:val="28"/>
        </w:rPr>
        <w:t xml:space="preserve"> S12, </w:t>
      </w:r>
      <w:proofErr w:type="spellStart"/>
      <w:r w:rsidRPr="00CD3817">
        <w:rPr>
          <w:rFonts w:ascii="Times New Roman" w:eastAsia="Times New Roman" w:hAnsi="Times New Roman" w:cs="Times New Roman"/>
          <w:color w:val="333333"/>
          <w:sz w:val="28"/>
          <w:szCs w:val="28"/>
        </w:rPr>
        <w:t>Искрател</w:t>
      </w:r>
      <w:proofErr w:type="spellEnd"/>
      <w:r w:rsidRPr="00CD3817">
        <w:rPr>
          <w:rFonts w:ascii="Times New Roman" w:eastAsia="Times New Roman" w:hAnsi="Times New Roman" w:cs="Times New Roman"/>
          <w:color w:val="333333"/>
          <w:sz w:val="28"/>
          <w:szCs w:val="28"/>
        </w:rPr>
        <w:t xml:space="preserve"> SI2000, </w:t>
      </w:r>
      <w:proofErr w:type="spellStart"/>
      <w:r w:rsidRPr="00CD3817">
        <w:rPr>
          <w:rFonts w:ascii="Times New Roman" w:eastAsia="Times New Roman" w:hAnsi="Times New Roman" w:cs="Times New Roman"/>
          <w:color w:val="333333"/>
          <w:sz w:val="28"/>
          <w:szCs w:val="28"/>
        </w:rPr>
        <w:t>Lucent</w:t>
      </w:r>
      <w:proofErr w:type="spellEnd"/>
      <w:r w:rsidRPr="00CD3817">
        <w:rPr>
          <w:rFonts w:ascii="Times New Roman" w:eastAsia="Times New Roman" w:hAnsi="Times New Roman" w:cs="Times New Roman"/>
          <w:color w:val="333333"/>
          <w:sz w:val="28"/>
          <w:szCs w:val="28"/>
        </w:rPr>
        <w:t xml:space="preserve"> 5ESS, </w:t>
      </w:r>
      <w:proofErr w:type="spellStart"/>
      <w:r w:rsidRPr="00CD3817">
        <w:rPr>
          <w:rFonts w:ascii="Times New Roman" w:eastAsia="Times New Roman" w:hAnsi="Times New Roman" w:cs="Times New Roman"/>
          <w:color w:val="333333"/>
          <w:sz w:val="28"/>
          <w:szCs w:val="28"/>
        </w:rPr>
        <w:t>Элком</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Huawei</w:t>
      </w:r>
      <w:proofErr w:type="spellEnd"/>
      <w:r w:rsidRPr="00CD3817">
        <w:rPr>
          <w:rFonts w:ascii="Times New Roman" w:eastAsia="Times New Roman" w:hAnsi="Times New Roman" w:cs="Times New Roman"/>
          <w:color w:val="333333"/>
          <w:sz w:val="28"/>
          <w:szCs w:val="28"/>
        </w:rPr>
        <w:t xml:space="preserve"> C&amp;C08, </w:t>
      </w:r>
      <w:proofErr w:type="spellStart"/>
      <w:r w:rsidRPr="00CD3817">
        <w:rPr>
          <w:rFonts w:ascii="Times New Roman" w:eastAsia="Times New Roman" w:hAnsi="Times New Roman" w:cs="Times New Roman"/>
          <w:color w:val="333333"/>
          <w:sz w:val="28"/>
          <w:szCs w:val="28"/>
        </w:rPr>
        <w:t>Ericsson</w:t>
      </w:r>
      <w:proofErr w:type="spellEnd"/>
      <w:r w:rsidRPr="00CD3817">
        <w:rPr>
          <w:rFonts w:ascii="Times New Roman" w:eastAsia="Times New Roman" w:hAnsi="Times New Roman" w:cs="Times New Roman"/>
          <w:color w:val="333333"/>
          <w:sz w:val="28"/>
          <w:szCs w:val="28"/>
        </w:rPr>
        <w:t xml:space="preserve"> АХЕ-10 и других.</w:t>
      </w:r>
    </w:p>
    <w:p w:rsidR="00CD3817" w:rsidRPr="00CD3817" w:rsidRDefault="00CD3817" w:rsidP="00CD3817">
      <w:pPr>
        <w:spacing w:before="100" w:beforeAutospacing="1" w:after="100" w:afterAutospacing="1" w:line="360" w:lineRule="auto"/>
        <w:ind w:firstLine="300"/>
        <w:jc w:val="both"/>
        <w:rPr>
          <w:rFonts w:ascii="Times New Roman" w:eastAsia="Times New Roman" w:hAnsi="Times New Roman" w:cs="Times New Roman"/>
          <w:color w:val="333333"/>
          <w:sz w:val="28"/>
          <w:szCs w:val="28"/>
        </w:rPr>
      </w:pPr>
      <w:r w:rsidRPr="00CD3817">
        <w:rPr>
          <w:rFonts w:ascii="Times New Roman" w:eastAsiaTheme="majorEastAsia" w:hAnsi="Times New Roman" w:cs="Times New Roman"/>
          <w:b/>
          <w:bCs/>
          <w:color w:val="333333"/>
          <w:sz w:val="28"/>
          <w:szCs w:val="28"/>
        </w:rPr>
        <w:t>Конструктивное исполнение</w:t>
      </w:r>
    </w:p>
    <w:p w:rsidR="00CD3817" w:rsidRPr="00CD3817" w:rsidRDefault="00CD3817" w:rsidP="00CD3817">
      <w:pPr>
        <w:spacing w:before="15" w:after="15" w:line="360" w:lineRule="auto"/>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Шасси 4U для монтажа в стойку 19” или ETSI на 22 слота расширения для интерфейсных и системных модулей; </w:t>
      </w:r>
    </w:p>
    <w:p w:rsidR="00CD3817" w:rsidRPr="00CD3817" w:rsidRDefault="00CD3817" w:rsidP="00CD3817">
      <w:pPr>
        <w:spacing w:before="15" w:after="15" w:line="360" w:lineRule="auto"/>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Мини-шасси 4U на 6 слотов расширения. </w:t>
      </w:r>
    </w:p>
    <w:p w:rsidR="00CD3817" w:rsidRPr="00CD3817" w:rsidRDefault="00CD3817" w:rsidP="00CD3817">
      <w:pPr>
        <w:spacing w:before="100" w:beforeAutospacing="1" w:after="100" w:afterAutospacing="1" w:line="360" w:lineRule="auto"/>
        <w:jc w:val="both"/>
        <w:rPr>
          <w:rFonts w:ascii="Times New Roman" w:eastAsiaTheme="majorEastAsia" w:hAnsi="Times New Roman" w:cs="Times New Roman"/>
          <w:b/>
          <w:bCs/>
          <w:color w:val="333333"/>
          <w:sz w:val="28"/>
          <w:szCs w:val="28"/>
        </w:rPr>
      </w:pPr>
      <w:r w:rsidRPr="00CD3817">
        <w:rPr>
          <w:rFonts w:ascii="Times New Roman" w:eastAsiaTheme="majorEastAsia" w:hAnsi="Times New Roman" w:cs="Times New Roman"/>
          <w:b/>
          <w:bCs/>
          <w:color w:val="333333"/>
          <w:sz w:val="28"/>
          <w:szCs w:val="28"/>
        </w:rPr>
        <w:t xml:space="preserve">Решаемые задачи: </w:t>
      </w:r>
    </w:p>
    <w:p w:rsidR="00CD3817" w:rsidRPr="00CD3817" w:rsidRDefault="00CD3817" w:rsidP="00CD3817">
      <w:pPr>
        <w:spacing w:before="100" w:beforeAutospacing="1" w:after="100" w:afterAutospacing="1"/>
        <w:jc w:val="both"/>
        <w:rPr>
          <w:rFonts w:ascii="Times New Roman" w:eastAsia="Times New Roman" w:hAnsi="Times New Roman" w:cs="Times New Roman"/>
          <w:color w:val="333333"/>
          <w:sz w:val="28"/>
          <w:szCs w:val="28"/>
        </w:rPr>
      </w:pPr>
      <w:r w:rsidRPr="00CD3817">
        <w:rPr>
          <w:rFonts w:ascii="Times New Roman" w:eastAsiaTheme="majorEastAsia" w:hAnsi="Times New Roman" w:cs="Times New Roman"/>
          <w:b/>
          <w:bCs/>
          <w:color w:val="333333"/>
          <w:sz w:val="28"/>
          <w:szCs w:val="28"/>
        </w:rPr>
        <w:t xml:space="preserve">            </w:t>
      </w:r>
      <w:r w:rsidRPr="00CD3817">
        <w:rPr>
          <w:rFonts w:ascii="Times New Roman" w:eastAsia="Times New Roman" w:hAnsi="Times New Roman" w:cs="Times New Roman"/>
          <w:color w:val="333333"/>
          <w:sz w:val="28"/>
          <w:szCs w:val="28"/>
        </w:rPr>
        <w:t xml:space="preserve">Увеличение абонентской базы оператора </w:t>
      </w:r>
    </w:p>
    <w:p w:rsidR="00CD3817" w:rsidRPr="00CD3817" w:rsidRDefault="00CD3817" w:rsidP="00CD3817">
      <w:pPr>
        <w:spacing w:before="100" w:beforeAutospacing="1" w:after="100" w:afterAutospacing="1"/>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            Замена устаревших районных АТС </w:t>
      </w:r>
    </w:p>
    <w:p w:rsidR="00CD3817" w:rsidRPr="00CD3817" w:rsidRDefault="00CD3817" w:rsidP="00CD3817">
      <w:pPr>
        <w:numPr>
          <w:ilvl w:val="0"/>
          <w:numId w:val="2"/>
        </w:numPr>
        <w:overflowPunct w:val="0"/>
        <w:autoSpaceDE w:val="0"/>
        <w:autoSpaceDN w:val="0"/>
        <w:adjustRightInd w:val="0"/>
        <w:spacing w:before="15" w:after="15" w:line="24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Строительство новых узлов связи для телефонизации отдельных районов города или сельской местности </w:t>
      </w:r>
    </w:p>
    <w:p w:rsidR="00CD3817" w:rsidRPr="00CD3817" w:rsidRDefault="00CD3817" w:rsidP="00CD3817">
      <w:pPr>
        <w:numPr>
          <w:ilvl w:val="0"/>
          <w:numId w:val="2"/>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Поэтапное развитие сети доступа с учетом окупаемости проекта </w:t>
      </w:r>
    </w:p>
    <w:p w:rsidR="00CD3817" w:rsidRPr="00CD3817" w:rsidRDefault="00CD3817" w:rsidP="00CD3817">
      <w:pPr>
        <w:numPr>
          <w:ilvl w:val="0"/>
          <w:numId w:val="2"/>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Внедрение новых телекоммуникационных услуг "с нуля" </w:t>
      </w:r>
    </w:p>
    <w:p w:rsidR="00CD3817" w:rsidRPr="00CD3817" w:rsidRDefault="00CD3817" w:rsidP="00CD3817">
      <w:pPr>
        <w:numPr>
          <w:ilvl w:val="0"/>
          <w:numId w:val="2"/>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lastRenderedPageBreak/>
        <w:t xml:space="preserve">Построение </w:t>
      </w:r>
      <w:proofErr w:type="spellStart"/>
      <w:r w:rsidRPr="00CD3817">
        <w:rPr>
          <w:rFonts w:ascii="Times New Roman" w:eastAsia="Times New Roman" w:hAnsi="Times New Roman" w:cs="Times New Roman"/>
          <w:color w:val="333333"/>
          <w:sz w:val="28"/>
          <w:szCs w:val="28"/>
        </w:rPr>
        <w:t>мультисервисной</w:t>
      </w:r>
      <w:proofErr w:type="spellEnd"/>
      <w:r w:rsidRPr="00CD3817">
        <w:rPr>
          <w:rFonts w:ascii="Times New Roman" w:eastAsia="Times New Roman" w:hAnsi="Times New Roman" w:cs="Times New Roman"/>
          <w:color w:val="333333"/>
          <w:sz w:val="28"/>
          <w:szCs w:val="28"/>
        </w:rPr>
        <w:t xml:space="preserve"> сети в условиях небольшого начального спроса </w:t>
      </w:r>
    </w:p>
    <w:p w:rsidR="00CD3817" w:rsidRPr="00CD3817" w:rsidRDefault="00CD3817" w:rsidP="00CD3817">
      <w:pPr>
        <w:numPr>
          <w:ilvl w:val="0"/>
          <w:numId w:val="2"/>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Минимизация капитальных и эксплуатационных затрат </w:t>
      </w:r>
    </w:p>
    <w:p w:rsidR="00CD3817" w:rsidRPr="00CD3817" w:rsidRDefault="00CD3817" w:rsidP="00CD3817">
      <w:pPr>
        <w:spacing w:before="15" w:after="15" w:line="360" w:lineRule="auto"/>
        <w:ind w:left="720"/>
        <w:jc w:val="both"/>
        <w:rPr>
          <w:rFonts w:ascii="Times New Roman" w:eastAsia="Times New Roman" w:hAnsi="Times New Roman" w:cs="Times New Roman"/>
          <w:color w:val="333333"/>
          <w:sz w:val="28"/>
          <w:szCs w:val="28"/>
        </w:rPr>
      </w:pPr>
      <w:r w:rsidRPr="00CD3817">
        <w:rPr>
          <w:rFonts w:ascii="Times New Roman" w:eastAsiaTheme="majorEastAsia" w:hAnsi="Times New Roman" w:cs="Times New Roman"/>
          <w:b/>
          <w:bCs/>
          <w:color w:val="333333"/>
          <w:sz w:val="28"/>
          <w:szCs w:val="28"/>
        </w:rPr>
        <w:t>Ключевые возможности:</w:t>
      </w:r>
    </w:p>
    <w:p w:rsidR="00CD3817" w:rsidRPr="00CD3817" w:rsidRDefault="00CD3817" w:rsidP="00CD3817">
      <w:pPr>
        <w:numPr>
          <w:ilvl w:val="0"/>
          <w:numId w:val="3"/>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Подключение к любым типам АТС по V5.2, CAS, a/b-линиям </w:t>
      </w:r>
    </w:p>
    <w:p w:rsidR="00CD3817" w:rsidRPr="00CD3817" w:rsidRDefault="00CD3817" w:rsidP="00CD3817">
      <w:pPr>
        <w:numPr>
          <w:ilvl w:val="0"/>
          <w:numId w:val="3"/>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Полный набор абонентских и сетевых интерфейсов </w:t>
      </w:r>
    </w:p>
    <w:p w:rsidR="00CD3817" w:rsidRPr="00CD3817" w:rsidRDefault="00CD3817" w:rsidP="00CD3817">
      <w:pPr>
        <w:numPr>
          <w:ilvl w:val="0"/>
          <w:numId w:val="3"/>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"Горячее" и "холодное" резервирование основных модулей </w:t>
      </w:r>
    </w:p>
    <w:p w:rsidR="00CD3817" w:rsidRPr="00CD3817" w:rsidRDefault="00CD3817" w:rsidP="00CD3817">
      <w:pPr>
        <w:numPr>
          <w:ilvl w:val="0"/>
          <w:numId w:val="3"/>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Сетевая система управления </w:t>
      </w:r>
    </w:p>
    <w:p w:rsidR="00CD3817" w:rsidRPr="00CD3817" w:rsidRDefault="00CD3817" w:rsidP="00CD3817">
      <w:pPr>
        <w:spacing w:before="15" w:after="15" w:line="360" w:lineRule="auto"/>
        <w:ind w:left="720"/>
        <w:jc w:val="both"/>
        <w:rPr>
          <w:rFonts w:ascii="Times New Roman" w:eastAsia="Times New Roman" w:hAnsi="Times New Roman" w:cs="Times New Roman"/>
          <w:color w:val="333333"/>
          <w:sz w:val="28"/>
          <w:szCs w:val="28"/>
        </w:rPr>
      </w:pPr>
      <w:r w:rsidRPr="00CD3817">
        <w:rPr>
          <w:rFonts w:ascii="Times New Roman" w:eastAsiaTheme="majorEastAsia" w:hAnsi="Times New Roman" w:cs="Times New Roman"/>
          <w:b/>
          <w:bCs/>
          <w:color w:val="333333"/>
          <w:sz w:val="28"/>
          <w:szCs w:val="28"/>
        </w:rPr>
        <w:t>Преимущества концентратора по сравнению с оконечным модулем АТС:</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Доступная цена (от $60 за порт)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Широкий набор интерфейсов и функций (встроенный DSLAM, мультиплексор STM-1 и т.п.)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Съемные модули на небольшое количество абонентов (нет избыточности)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Простота установки и наращивания абонентской емкости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Простота добавления новых услуг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Поддержка различных топологий и сред передачи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Централизованное управление сетью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Конфигурация, тарификация осуществляются с головной АТС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Не нужен блок СОРМ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Не требует особых климатических условий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Упрощенная процедура приемки надзорными органами </w:t>
      </w:r>
    </w:p>
    <w:p w:rsidR="00CD3817" w:rsidRPr="00CD3817" w:rsidRDefault="00CD3817" w:rsidP="00CD3817">
      <w:pPr>
        <w:numPr>
          <w:ilvl w:val="0"/>
          <w:numId w:val="4"/>
        </w:numPr>
        <w:overflowPunct w:val="0"/>
        <w:autoSpaceDE w:val="0"/>
        <w:autoSpaceDN w:val="0"/>
        <w:adjustRightInd w:val="0"/>
        <w:spacing w:before="15" w:after="15" w:line="360" w:lineRule="auto"/>
        <w:jc w:val="both"/>
        <w:textAlignment w:val="baseline"/>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Возможность интеграции в пакетные сети </w:t>
      </w:r>
    </w:p>
    <w:p w:rsidR="00CD3817" w:rsidRPr="00CD3817" w:rsidRDefault="00CD3817" w:rsidP="00CD3817">
      <w:pPr>
        <w:spacing w:before="15" w:after="15" w:line="360" w:lineRule="auto"/>
        <w:ind w:left="720"/>
        <w:jc w:val="both"/>
        <w:rPr>
          <w:rFonts w:ascii="Times New Roman" w:eastAsia="Times New Roman" w:hAnsi="Times New Roman" w:cs="Times New Roman"/>
          <w:color w:val="333333"/>
          <w:sz w:val="28"/>
          <w:szCs w:val="28"/>
        </w:rPr>
      </w:pPr>
      <w:r w:rsidRPr="00CD3817">
        <w:rPr>
          <w:rFonts w:ascii="Times New Roman" w:eastAsiaTheme="majorEastAsia" w:hAnsi="Times New Roman" w:cs="Times New Roman"/>
          <w:b/>
          <w:bCs/>
          <w:color w:val="333333"/>
          <w:sz w:val="28"/>
          <w:szCs w:val="28"/>
        </w:rPr>
        <w:t>Приложения:</w:t>
      </w:r>
      <w:r w:rsidRPr="00CD3817">
        <w:rPr>
          <w:rFonts w:ascii="Times New Roman" w:eastAsia="Times New Roman" w:hAnsi="Times New Roman" w:cs="Times New Roman"/>
          <w:color w:val="333333"/>
          <w:sz w:val="28"/>
          <w:szCs w:val="28"/>
        </w:rPr>
        <w:t xml:space="preserve"> </w:t>
      </w:r>
    </w:p>
    <w:p w:rsidR="00CD3817" w:rsidRPr="00CD3817" w:rsidRDefault="00CD3817" w:rsidP="00CD3817">
      <w:pPr>
        <w:spacing w:before="100" w:beforeAutospacing="1" w:after="100" w:afterAutospacing="1" w:line="360" w:lineRule="auto"/>
        <w:ind w:firstLine="300"/>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 xml:space="preserve">Модульная конструкция и большой выбор абонентских и линейных интерфейсов делают концентратор HTC-1100Е универсальным решением для широкого ряда операторских задач. Гибкость системы НТС-1100Е позволяет выбрать необходимую конфигурацию выносов, способ подключения к </w:t>
      </w:r>
      <w:r w:rsidRPr="00CD3817">
        <w:rPr>
          <w:rFonts w:ascii="Times New Roman" w:eastAsia="Times New Roman" w:hAnsi="Times New Roman" w:cs="Times New Roman"/>
          <w:color w:val="333333"/>
          <w:sz w:val="28"/>
          <w:szCs w:val="28"/>
        </w:rPr>
        <w:lastRenderedPageBreak/>
        <w:t>опорным сетям, набор услуг и вид сетевой топологии в зависимости от конкретной ситуации и требований заказчика. С учетом платежеспособного спроса оператор может постепенно внедрять услуги широкополосного доступа при минимальных временных, трудовых и финансовых затратах. Конфигурация сети доступа может быть любого вида - "кольцо", "дерево", "звезда" или "цепь". Концентратор, включенный непосредственно в коммутатор АТС, называется LET (</w:t>
      </w:r>
      <w:proofErr w:type="spellStart"/>
      <w:r w:rsidRPr="00CD3817">
        <w:rPr>
          <w:rFonts w:ascii="Times New Roman" w:eastAsia="Times New Roman" w:hAnsi="Times New Roman" w:cs="Times New Roman"/>
          <w:color w:val="333333"/>
          <w:sz w:val="28"/>
          <w:szCs w:val="28"/>
        </w:rPr>
        <w:t>Local</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Exchange</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Terminal</w:t>
      </w:r>
      <w:proofErr w:type="spellEnd"/>
      <w:r w:rsidRPr="00CD3817">
        <w:rPr>
          <w:rFonts w:ascii="Times New Roman" w:eastAsia="Times New Roman" w:hAnsi="Times New Roman" w:cs="Times New Roman"/>
          <w:color w:val="333333"/>
          <w:sz w:val="28"/>
          <w:szCs w:val="28"/>
        </w:rPr>
        <w:t>), а подключаемые к нему концентраторы - RST (</w:t>
      </w:r>
      <w:proofErr w:type="spellStart"/>
      <w:r w:rsidRPr="00CD3817">
        <w:rPr>
          <w:rFonts w:ascii="Times New Roman" w:eastAsia="Times New Roman" w:hAnsi="Times New Roman" w:cs="Times New Roman"/>
          <w:color w:val="333333"/>
          <w:sz w:val="28"/>
          <w:szCs w:val="28"/>
        </w:rPr>
        <w:t>Remote</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Subscriber</w:t>
      </w:r>
      <w:proofErr w:type="spellEnd"/>
      <w:r w:rsidRPr="00CD3817">
        <w:rPr>
          <w:rFonts w:ascii="Times New Roman" w:eastAsia="Times New Roman" w:hAnsi="Times New Roman" w:cs="Times New Roman"/>
          <w:color w:val="333333"/>
          <w:sz w:val="28"/>
          <w:szCs w:val="28"/>
        </w:rPr>
        <w:t xml:space="preserve"> </w:t>
      </w:r>
      <w:proofErr w:type="spellStart"/>
      <w:r w:rsidRPr="00CD3817">
        <w:rPr>
          <w:rFonts w:ascii="Times New Roman" w:eastAsia="Times New Roman" w:hAnsi="Times New Roman" w:cs="Times New Roman"/>
          <w:color w:val="333333"/>
          <w:sz w:val="28"/>
          <w:szCs w:val="28"/>
        </w:rPr>
        <w:t>Terminal</w:t>
      </w:r>
      <w:proofErr w:type="spellEnd"/>
      <w:r w:rsidRPr="00CD3817">
        <w:rPr>
          <w:rFonts w:ascii="Times New Roman" w:eastAsia="Times New Roman" w:hAnsi="Times New Roman" w:cs="Times New Roman"/>
          <w:color w:val="333333"/>
          <w:sz w:val="28"/>
          <w:szCs w:val="28"/>
        </w:rPr>
        <w:t>). Основным функциональным отличием LET от RST является наличие у LET возможностей удалённого управления всей системой выносов. К 1 LET подключается до 15 RST в конфигурации "дерево", до 4 RST в конфигурации "звезда", до 5 RST в конфигурации "цепь".</w:t>
      </w:r>
    </w:p>
    <w:p w:rsidR="00CD3817" w:rsidRPr="00CD3817" w:rsidRDefault="00CD3817" w:rsidP="00CD3817">
      <w:pPr>
        <w:spacing w:before="100" w:beforeAutospacing="1" w:after="100" w:afterAutospacing="1" w:line="360" w:lineRule="auto"/>
        <w:ind w:firstLine="300"/>
        <w:jc w:val="both"/>
        <w:rPr>
          <w:rFonts w:ascii="Times New Roman" w:eastAsia="Times New Roman" w:hAnsi="Times New Roman" w:cs="Times New Roman"/>
          <w:color w:val="333333"/>
          <w:sz w:val="28"/>
          <w:szCs w:val="28"/>
        </w:rPr>
      </w:pPr>
      <w:r w:rsidRPr="00CD3817">
        <w:rPr>
          <w:rFonts w:ascii="Times New Roman" w:eastAsia="Times New Roman" w:hAnsi="Times New Roman" w:cs="Times New Roman"/>
          <w:color w:val="333333"/>
          <w:sz w:val="28"/>
          <w:szCs w:val="28"/>
        </w:rPr>
        <w:t>Предоставление услуг широкополосного доступа по линиям ADSL (до 8 Мбит/</w:t>
      </w:r>
      <w:proofErr w:type="gramStart"/>
      <w:r w:rsidRPr="00CD3817">
        <w:rPr>
          <w:rFonts w:ascii="Times New Roman" w:eastAsia="Times New Roman" w:hAnsi="Times New Roman" w:cs="Times New Roman"/>
          <w:color w:val="333333"/>
          <w:sz w:val="28"/>
          <w:szCs w:val="28"/>
        </w:rPr>
        <w:t>с</w:t>
      </w:r>
      <w:proofErr w:type="gramEnd"/>
      <w:r w:rsidRPr="00CD3817">
        <w:rPr>
          <w:rFonts w:ascii="Times New Roman" w:eastAsia="Times New Roman" w:hAnsi="Times New Roman" w:cs="Times New Roman"/>
          <w:color w:val="333333"/>
          <w:sz w:val="28"/>
          <w:szCs w:val="28"/>
        </w:rPr>
        <w:t xml:space="preserve"> </w:t>
      </w:r>
      <w:proofErr w:type="gramStart"/>
      <w:r w:rsidRPr="00CD3817">
        <w:rPr>
          <w:rFonts w:ascii="Times New Roman" w:eastAsia="Times New Roman" w:hAnsi="Times New Roman" w:cs="Times New Roman"/>
          <w:color w:val="333333"/>
          <w:sz w:val="28"/>
          <w:szCs w:val="28"/>
        </w:rPr>
        <w:t>к</w:t>
      </w:r>
      <w:proofErr w:type="gramEnd"/>
      <w:r w:rsidRPr="00CD3817">
        <w:rPr>
          <w:rFonts w:ascii="Times New Roman" w:eastAsia="Times New Roman" w:hAnsi="Times New Roman" w:cs="Times New Roman"/>
          <w:color w:val="333333"/>
          <w:sz w:val="28"/>
          <w:szCs w:val="28"/>
        </w:rPr>
        <w:t xml:space="preserve"> абоненту) и G.SHDSL (192 - 2 312 Кбит/с на 4,1 - 7,1 км) осуществляется при помощи модемных карт, устанавливаемых непосредственно в шасси, и модемов, устанавливаемых в помещении абонента. Поставляется 3 модификации модемов G.SHDSL - c интерфейсами </w:t>
      </w:r>
      <w:proofErr w:type="spellStart"/>
      <w:r w:rsidRPr="00CD3817">
        <w:rPr>
          <w:rFonts w:ascii="Times New Roman" w:eastAsia="Times New Roman" w:hAnsi="Times New Roman" w:cs="Times New Roman"/>
          <w:color w:val="333333"/>
          <w:sz w:val="28"/>
          <w:szCs w:val="28"/>
        </w:rPr>
        <w:t>Ethernet</w:t>
      </w:r>
      <w:proofErr w:type="spellEnd"/>
      <w:r w:rsidRPr="00CD3817">
        <w:rPr>
          <w:rFonts w:ascii="Times New Roman" w:eastAsia="Times New Roman" w:hAnsi="Times New Roman" w:cs="Times New Roman"/>
          <w:color w:val="333333"/>
          <w:sz w:val="28"/>
          <w:szCs w:val="28"/>
        </w:rPr>
        <w:t>, V.35 (nx64) и Е</w:t>
      </w:r>
      <w:proofErr w:type="gramStart"/>
      <w:r w:rsidRPr="00CD3817">
        <w:rPr>
          <w:rFonts w:ascii="Times New Roman" w:eastAsia="Times New Roman" w:hAnsi="Times New Roman" w:cs="Times New Roman"/>
          <w:color w:val="333333"/>
          <w:sz w:val="28"/>
          <w:szCs w:val="28"/>
        </w:rPr>
        <w:t>1</w:t>
      </w:r>
      <w:proofErr w:type="gramEnd"/>
      <w:r w:rsidRPr="00CD3817">
        <w:rPr>
          <w:rFonts w:ascii="Times New Roman" w:eastAsia="Times New Roman" w:hAnsi="Times New Roman" w:cs="Times New Roman"/>
          <w:color w:val="333333"/>
          <w:sz w:val="28"/>
          <w:szCs w:val="28"/>
        </w:rPr>
        <w:t>.</w:t>
      </w:r>
    </w:p>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333333"/>
          <w:sz w:val="28"/>
          <w:szCs w:val="28"/>
        </w:rPr>
      </w:pPr>
    </w:p>
    <w:p w:rsidR="00CD3817" w:rsidRPr="00CD3817" w:rsidRDefault="00CD3817" w:rsidP="00CD3817">
      <w:pPr>
        <w:overflowPunct w:val="0"/>
        <w:autoSpaceDE w:val="0"/>
        <w:autoSpaceDN w:val="0"/>
        <w:adjustRightInd w:val="0"/>
        <w:spacing w:after="0" w:line="240" w:lineRule="auto"/>
        <w:jc w:val="center"/>
        <w:textAlignment w:val="baseline"/>
        <w:rPr>
          <w:rFonts w:ascii="Arial" w:eastAsia="Times New Roman" w:hAnsi="Arial" w:cs="Arial"/>
          <w:color w:val="333333"/>
          <w:sz w:val="18"/>
          <w:szCs w:val="18"/>
        </w:rPr>
      </w:pPr>
      <w:r w:rsidRPr="00CD3817">
        <w:rPr>
          <w:rFonts w:ascii="Arial" w:eastAsia="Times New Roman" w:hAnsi="Arial" w:cs="Arial"/>
          <w:noProof/>
          <w:color w:val="333333"/>
          <w:sz w:val="18"/>
          <w:szCs w:val="18"/>
        </w:rPr>
        <w:lastRenderedPageBreak/>
        <w:drawing>
          <wp:inline distT="0" distB="0" distL="0" distR="0" wp14:anchorId="4BE280B8" wp14:editId="4B70E4E4">
            <wp:extent cx="5812406" cy="3976778"/>
            <wp:effectExtent l="19050" t="0" r="0" b="0"/>
            <wp:docPr id="13" name="Рисунок 3" descr="Платформа волнового управления CW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тформа волнового управления CWDM"/>
                    <pic:cNvPicPr>
                      <a:picLocks noChangeAspect="1" noChangeArrowheads="1"/>
                    </pic:cNvPicPr>
                  </pic:nvPicPr>
                  <pic:blipFill>
                    <a:blip r:embed="rId20"/>
                    <a:srcRect/>
                    <a:stretch>
                      <a:fillRect/>
                    </a:stretch>
                  </pic:blipFill>
                  <pic:spPr bwMode="auto">
                    <a:xfrm>
                      <a:off x="0" y="0"/>
                      <a:ext cx="5822197" cy="3983477"/>
                    </a:xfrm>
                    <a:prstGeom prst="rect">
                      <a:avLst/>
                    </a:prstGeom>
                    <a:noFill/>
                    <a:ln w="9525">
                      <a:noFill/>
                      <a:miter lim="800000"/>
                      <a:headEnd/>
                      <a:tailEnd/>
                    </a:ln>
                  </pic:spPr>
                </pic:pic>
              </a:graphicData>
            </a:graphic>
          </wp:inline>
        </w:drawing>
      </w:r>
    </w:p>
    <w:p w:rsidR="00CD3817" w:rsidRPr="00CD3817" w:rsidRDefault="00CD3817" w:rsidP="00CD381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rPr>
      </w:pPr>
    </w:p>
    <w:p w:rsidR="00CD3817" w:rsidRPr="00CD3817" w:rsidRDefault="00CD3817" w:rsidP="00CD381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rPr>
      </w:pPr>
      <w:r w:rsidRPr="00CD3817">
        <w:rPr>
          <w:rFonts w:ascii="Times New Roman" w:eastAsia="Times New Roman" w:hAnsi="Times New Roman" w:cs="Times New Roman"/>
          <w:b/>
          <w:sz w:val="28"/>
          <w:szCs w:val="28"/>
        </w:rPr>
        <w:t>Заключение.</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В данном проекте была поставлена задача проектирования цифровой сети город Курган-Тюбе. </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Проектирование осуществлялось на базе цифровой коммутационной системы типа </w:t>
      </w:r>
      <w:r w:rsidRPr="00CD3817">
        <w:rPr>
          <w:rFonts w:ascii="Times New Roman" w:eastAsia="Times New Roman" w:hAnsi="Times New Roman" w:cs="Times New Roman"/>
          <w:sz w:val="28"/>
          <w:szCs w:val="28"/>
          <w:lang w:val="en-US"/>
        </w:rPr>
        <w:t>ZXJ</w:t>
      </w:r>
      <w:r w:rsidRPr="00CD3817">
        <w:rPr>
          <w:rFonts w:ascii="Times New Roman" w:eastAsia="Times New Roman" w:hAnsi="Times New Roman" w:cs="Times New Roman"/>
          <w:sz w:val="28"/>
          <w:szCs w:val="28"/>
        </w:rPr>
        <w:t xml:space="preserve">10 фирмы </w:t>
      </w:r>
      <w:r w:rsidRPr="00CD3817">
        <w:rPr>
          <w:rFonts w:ascii="Times New Roman" w:eastAsia="Times New Roman" w:hAnsi="Times New Roman" w:cs="Times New Roman"/>
          <w:sz w:val="28"/>
          <w:szCs w:val="28"/>
          <w:lang w:val="en-US"/>
        </w:rPr>
        <w:t>ZTE</w:t>
      </w:r>
      <w:r w:rsidRPr="00CD3817">
        <w:rPr>
          <w:rFonts w:ascii="Times New Roman" w:eastAsia="Times New Roman" w:hAnsi="Times New Roman" w:cs="Times New Roman"/>
          <w:sz w:val="28"/>
          <w:szCs w:val="28"/>
        </w:rPr>
        <w:t>, которая обладает хорошими технико-экономическими показателями, и в современном мире телекоммуникаций занимает одну из ведущих позиций.</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Выбор данного типа АТС был обусловлен рядом соображений и подтвержден соответствующими расчетами.</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При этом были учтены следующие положительные качества, присущие АТС данного типа: </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w:t>
      </w:r>
      <w:proofErr w:type="gramStart"/>
      <w:r w:rsidRPr="00CD3817">
        <w:rPr>
          <w:rFonts w:ascii="Times New Roman" w:eastAsia="Times New Roman" w:hAnsi="Times New Roman" w:cs="Times New Roman"/>
          <w:sz w:val="28"/>
          <w:szCs w:val="28"/>
        </w:rPr>
        <w:t>хорошая</w:t>
      </w:r>
      <w:proofErr w:type="gramEnd"/>
      <w:r w:rsidRPr="00CD3817">
        <w:rPr>
          <w:rFonts w:ascii="Times New Roman" w:eastAsia="Times New Roman" w:hAnsi="Times New Roman" w:cs="Times New Roman"/>
          <w:sz w:val="28"/>
          <w:szCs w:val="28"/>
        </w:rPr>
        <w:t xml:space="preserve"> </w:t>
      </w:r>
      <w:proofErr w:type="spellStart"/>
      <w:r w:rsidRPr="00CD3817">
        <w:rPr>
          <w:rFonts w:ascii="Times New Roman" w:eastAsia="Times New Roman" w:hAnsi="Times New Roman" w:cs="Times New Roman"/>
          <w:sz w:val="28"/>
          <w:szCs w:val="28"/>
        </w:rPr>
        <w:t>сопрягаемость</w:t>
      </w:r>
      <w:proofErr w:type="spellEnd"/>
      <w:r w:rsidRPr="00CD3817">
        <w:rPr>
          <w:rFonts w:ascii="Times New Roman" w:eastAsia="Times New Roman" w:hAnsi="Times New Roman" w:cs="Times New Roman"/>
          <w:sz w:val="28"/>
          <w:szCs w:val="28"/>
        </w:rPr>
        <w:t xml:space="preserve"> с различными типами существующих станций</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-высокая надежность и ремонтопригодность</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-аппаратные средства легко наращиваются при необходимости увеличения   числа обслуживаемых абонентов                                                          </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-наличие хорошо отработанного программного обеспечения, легко адаптируемого к любой  конфигурации аппаратных средств, и поставляемого в комплекте со станцией.</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-для абонентов имеется возможность ввода целого комплекса дополнительных услуг</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-приемлемая стоимость, сравнимая со стоимостью станций других типов.</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-положительный опыт эксплуатации АТС данного типа в реальной сети СТС, подтверждающий заявленные производителем высокие технические характеристики оборудования.</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В ходе решения задачи было сделано следующее:</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-Рассмотрена структура организации связи районе, где осуществляется проектирование.</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-Рассмотрены технические характеристики оборудования </w:t>
      </w:r>
      <w:r w:rsidRPr="00CD3817">
        <w:rPr>
          <w:rFonts w:ascii="Times New Roman" w:eastAsia="Times New Roman" w:hAnsi="Times New Roman" w:cs="Times New Roman"/>
          <w:sz w:val="28"/>
          <w:szCs w:val="28"/>
          <w:lang w:val="en-US"/>
        </w:rPr>
        <w:t>ZJX</w:t>
      </w:r>
      <w:r w:rsidRPr="00CD3817">
        <w:rPr>
          <w:rFonts w:ascii="Times New Roman" w:eastAsia="Times New Roman" w:hAnsi="Times New Roman" w:cs="Times New Roman"/>
          <w:sz w:val="28"/>
          <w:szCs w:val="28"/>
        </w:rPr>
        <w:t>-10, структура аппаратных средств и программного обеспечения, описаны основные блоки и структурные единицы.</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-Произведен расчет абонентской нагрузки и распределение нагрузок по всем направлениям.</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-По результатам расчетов определен необходимый объем станционного оборудования и соединительных линий по всем направлениям.</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-Произведено размещение оборудования  на </w:t>
      </w:r>
      <w:proofErr w:type="spellStart"/>
      <w:r w:rsidRPr="00CD3817">
        <w:rPr>
          <w:rFonts w:ascii="Times New Roman" w:eastAsia="Times New Roman" w:hAnsi="Times New Roman" w:cs="Times New Roman"/>
          <w:sz w:val="28"/>
          <w:szCs w:val="28"/>
        </w:rPr>
        <w:t>стативах</w:t>
      </w:r>
      <w:proofErr w:type="spellEnd"/>
      <w:r w:rsidRPr="00CD3817">
        <w:rPr>
          <w:rFonts w:ascii="Times New Roman" w:eastAsia="Times New Roman" w:hAnsi="Times New Roman" w:cs="Times New Roman"/>
          <w:sz w:val="28"/>
          <w:szCs w:val="28"/>
        </w:rPr>
        <w:t xml:space="preserve"> и в машинном зале.</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-Рассмотрены вопросы, связанные с эксплуатацией и техническим обслуживанием данного объекта.</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Кроме того, используя анализ по методу иерархий (МАИ), было получено технико-экономическое обоснование выбора системы </w:t>
      </w:r>
      <w:r w:rsidRPr="00CD3817">
        <w:rPr>
          <w:rFonts w:ascii="Times New Roman" w:eastAsia="Times New Roman" w:hAnsi="Times New Roman" w:cs="Times New Roman"/>
          <w:sz w:val="28"/>
          <w:szCs w:val="28"/>
          <w:lang w:val="en-US"/>
        </w:rPr>
        <w:t>ZJX</w:t>
      </w:r>
      <w:r w:rsidRPr="00CD3817">
        <w:rPr>
          <w:rFonts w:ascii="Times New Roman" w:eastAsia="Times New Roman" w:hAnsi="Times New Roman" w:cs="Times New Roman"/>
          <w:sz w:val="28"/>
          <w:szCs w:val="28"/>
        </w:rPr>
        <w:t>-10 для реализации данного проекта.</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Затем был произведен расчет основных экономических показателей, результаты которого подтвердили целесообразность введения данной телефонной станции.</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lastRenderedPageBreak/>
        <w:t>В ходе работы над проектом были рассмотрены вопросы, связанные с охраной труда на примере диспетчерской, и произведен расчет искусственного освещения рабочего места обслуживающего персонала в центре технической эксплуатации   (ЦТЭ).</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D3817">
        <w:rPr>
          <w:rFonts w:ascii="Times New Roman" w:eastAsia="Times New Roman" w:hAnsi="Times New Roman" w:cs="Times New Roman"/>
          <w:sz w:val="28"/>
          <w:szCs w:val="28"/>
        </w:rPr>
        <w:t xml:space="preserve">Таким образом, проект выполнен в полном соответствии с заданием. Задача по проектированию цифровой сети  город Курган-Тюбе на базе цифровой системы коммутации </w:t>
      </w:r>
      <w:r w:rsidRPr="00CD3817">
        <w:rPr>
          <w:rFonts w:ascii="Times New Roman" w:eastAsia="Times New Roman" w:hAnsi="Times New Roman" w:cs="Times New Roman"/>
          <w:sz w:val="28"/>
          <w:szCs w:val="28"/>
          <w:lang w:val="en-US"/>
        </w:rPr>
        <w:t>ZJX</w:t>
      </w:r>
      <w:r w:rsidRPr="00CD3817">
        <w:rPr>
          <w:rFonts w:ascii="Times New Roman" w:eastAsia="Times New Roman" w:hAnsi="Times New Roman" w:cs="Times New Roman"/>
          <w:sz w:val="28"/>
          <w:szCs w:val="28"/>
        </w:rPr>
        <w:t>-10  на сельской  телефонной сети большей емкости решена. При этом были получены результаты, имеющие практическую ценность.</w:t>
      </w:r>
    </w:p>
    <w:p w:rsidR="00CD3817" w:rsidRPr="00CD3817" w:rsidRDefault="00CD3817" w:rsidP="00CD3817">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rsidR="00CD3817" w:rsidRPr="00CD3817" w:rsidRDefault="00CD3817" w:rsidP="00CD3817">
      <w:pPr>
        <w:pBdr>
          <w:bottom w:val="single" w:sz="8" w:space="4" w:color="4F81BD" w:themeColor="accent1"/>
        </w:pBdr>
        <w:overflowPunct w:val="0"/>
        <w:autoSpaceDE w:val="0"/>
        <w:autoSpaceDN w:val="0"/>
        <w:adjustRightInd w:val="0"/>
        <w:spacing w:after="300" w:line="360" w:lineRule="auto"/>
        <w:contextualSpacing/>
        <w:jc w:val="both"/>
        <w:textAlignment w:val="baseline"/>
        <w:rPr>
          <w:rFonts w:ascii="Times New Roman" w:eastAsiaTheme="majorEastAsia" w:hAnsi="Times New Roman" w:cs="Times New Roman"/>
          <w:color w:val="17365D" w:themeColor="text2" w:themeShade="BF"/>
          <w:spacing w:val="5"/>
          <w:kern w:val="28"/>
          <w:sz w:val="28"/>
          <w:szCs w:val="28"/>
        </w:rPr>
      </w:pPr>
    </w:p>
    <w:p w:rsidR="00263CB7" w:rsidRDefault="00CD3817"/>
    <w:sectPr w:rsidR="00263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abstractNum w:abstractNumId="0">
    <w:nsid w:val="0BE21AB6"/>
    <w:multiLevelType w:val="multilevel"/>
    <w:tmpl w:val="1A9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C3B79"/>
    <w:multiLevelType w:val="multilevel"/>
    <w:tmpl w:val="ADDED07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4738C"/>
    <w:multiLevelType w:val="multilevel"/>
    <w:tmpl w:val="4B0430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E3EB0"/>
    <w:multiLevelType w:val="multilevel"/>
    <w:tmpl w:val="54BE7CD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17"/>
    <w:rsid w:val="00004A15"/>
    <w:rsid w:val="001E1FEE"/>
    <w:rsid w:val="00B726A0"/>
    <w:rsid w:val="00CD3817"/>
    <w:rsid w:val="00D0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8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8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hyperlink" Target="http://www.skomplekt.com/tovar/5/hitron"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8C1D-8876-4C99-8E99-74E13E5B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3249</Words>
  <Characters>18523</Characters>
  <Application>Microsoft Office Word</Application>
  <DocSecurity>0</DocSecurity>
  <Lines>154</Lines>
  <Paragraphs>43</Paragraphs>
  <ScaleCrop>false</ScaleCrop>
  <Company>Microsoft</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2012-04-26T16:20:00Z</dcterms:created>
  <dcterms:modified xsi:type="dcterms:W3CDTF">2012-04-26T16:30:00Z</dcterms:modified>
</cp:coreProperties>
</file>